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08A8" w14:textId="29E1EE50" w:rsidR="0064610C" w:rsidRDefault="0064610C" w:rsidP="0064610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kkuratLL-Bold" w:hAnsi="AkkuratLL-Bold" w:cs="AkkuratLL-Bold"/>
          <w:b/>
          <w:bCs/>
          <w:color w:val="3DA351"/>
          <w:sz w:val="26"/>
          <w:szCs w:val="26"/>
        </w:rPr>
      </w:pPr>
      <w:r>
        <w:rPr>
          <w:rFonts w:ascii="AkkuratLL-Bold" w:hAnsi="AkkuratLL-Bold" w:cs="AkkuratLL-Bold"/>
          <w:b/>
          <w:bCs/>
          <w:color w:val="3DA351"/>
          <w:sz w:val="26"/>
          <w:szCs w:val="26"/>
        </w:rPr>
        <w:t>Attorney’s Opinion Letter</w:t>
      </w:r>
    </w:p>
    <w:p w14:paraId="5B80481B" w14:textId="635B13DD" w:rsidR="0064610C" w:rsidRDefault="0064610C" w:rsidP="0064610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kkuratLL-Bold" w:hAnsi="AkkuratLL-Bold" w:cs="AkkuratLL-Bold"/>
          <w:b/>
          <w:bCs/>
          <w:color w:val="3DA351"/>
          <w:sz w:val="26"/>
          <w:szCs w:val="26"/>
        </w:rPr>
      </w:pPr>
    </w:p>
    <w:p w14:paraId="3816003E" w14:textId="77777777" w:rsidR="0064610C" w:rsidRDefault="0064610C" w:rsidP="0064610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kkuratLL-Bold" w:hAnsi="AkkuratLL-Bold" w:cs="AkkuratLL-Bold"/>
          <w:b/>
          <w:bCs/>
          <w:color w:val="3DA351"/>
          <w:sz w:val="26"/>
          <w:szCs w:val="26"/>
        </w:rPr>
      </w:pPr>
    </w:p>
    <w:p w14:paraId="062EC810" w14:textId="77777777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Bold" w:hAnsi="AkkuratLL-Bold" w:cs="AkkuratLL-Bold"/>
          <w:b/>
          <w:bCs/>
          <w:color w:val="191919"/>
        </w:rPr>
      </w:pPr>
      <w:r>
        <w:rPr>
          <w:rFonts w:ascii="AkkuratLL-Bold" w:hAnsi="AkkuratLL-Bold" w:cs="AkkuratLL-Bold"/>
          <w:b/>
          <w:bCs/>
          <w:color w:val="191919"/>
        </w:rPr>
        <w:t>General Instructions</w:t>
      </w:r>
    </w:p>
    <w:p w14:paraId="4BBDB5AD" w14:textId="77777777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  <w:r>
        <w:rPr>
          <w:rFonts w:ascii="AkkuratLL-Regular" w:eastAsia="AkkuratLL-Regular" w:hAnsi="AkkuratLL-Bold" w:cs="AkkuratLL-Regular"/>
          <w:color w:val="191919"/>
        </w:rPr>
        <w:t xml:space="preserve">1. This Opinion </w:t>
      </w:r>
      <w:r>
        <w:rPr>
          <w:rFonts w:ascii="AkkuratLL-Bold" w:hAnsi="AkkuratLL-Bold" w:cs="AkkuratLL-Bold"/>
          <w:b/>
          <w:bCs/>
          <w:color w:val="191919"/>
        </w:rPr>
        <w:t xml:space="preserve">must </w:t>
      </w:r>
      <w:r>
        <w:rPr>
          <w:rFonts w:ascii="AkkuratLL-Regular" w:eastAsia="AkkuratLL-Regular" w:hAnsi="AkkuratLL-Bold" w:cs="AkkuratLL-Regular"/>
          <w:color w:val="191919"/>
        </w:rPr>
        <w:t>be included with application.</w:t>
      </w:r>
    </w:p>
    <w:p w14:paraId="47EF799A" w14:textId="77777777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  <w:r>
        <w:rPr>
          <w:rFonts w:ascii="AkkuratLL-Regular" w:eastAsia="AkkuratLL-Regular" w:hAnsi="AkkuratLL-Bold" w:cs="AkkuratLL-Regular"/>
          <w:color w:val="191919"/>
        </w:rPr>
        <w:t xml:space="preserve">2. This Opinion </w:t>
      </w:r>
      <w:r>
        <w:rPr>
          <w:rFonts w:ascii="AkkuratLL-Bold" w:hAnsi="AkkuratLL-Bold" w:cs="AkkuratLL-Bold"/>
          <w:b/>
          <w:bCs/>
          <w:color w:val="191919"/>
        </w:rPr>
        <w:t xml:space="preserve">must </w:t>
      </w:r>
      <w:r>
        <w:rPr>
          <w:rFonts w:ascii="AkkuratLL-Regular" w:eastAsia="AkkuratLL-Regular" w:hAnsi="AkkuratLL-Bold" w:cs="AkkuratLL-Regular"/>
          <w:color w:val="191919"/>
        </w:rPr>
        <w:t>be submitted under law firm</w:t>
      </w:r>
      <w:r>
        <w:rPr>
          <w:rFonts w:ascii="AkkuratLL-Regular" w:eastAsia="AkkuratLL-Regular" w:hAnsi="AkkuratLL-Bold" w:cs="AkkuratLL-Regular" w:hint="eastAsia"/>
          <w:color w:val="191919"/>
        </w:rPr>
        <w:t>’</w:t>
      </w:r>
      <w:r>
        <w:rPr>
          <w:rFonts w:ascii="AkkuratLL-Regular" w:eastAsia="AkkuratLL-Regular" w:hAnsi="AkkuratLL-Bold" w:cs="AkkuratLL-Regular"/>
          <w:color w:val="191919"/>
        </w:rPr>
        <w:t>s letterhead.</w:t>
      </w:r>
    </w:p>
    <w:p w14:paraId="4918D4EC" w14:textId="77777777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  <w:r>
        <w:rPr>
          <w:rFonts w:ascii="AkkuratLL-Regular" w:eastAsia="AkkuratLL-Regular" w:hAnsi="AkkuratLL-Bold" w:cs="AkkuratLL-Regular"/>
          <w:color w:val="191919"/>
        </w:rPr>
        <w:t>3. Any changes to this form, other than filling in blanks or making the appropriate selections in</w:t>
      </w:r>
    </w:p>
    <w:p w14:paraId="58AD429E" w14:textId="77777777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  <w:r>
        <w:rPr>
          <w:rFonts w:ascii="AkkuratLL-Regular" w:eastAsia="AkkuratLL-Regular" w:hAnsi="AkkuratLL-Bold" w:cs="AkkuratLL-Regular"/>
          <w:color w:val="191919"/>
        </w:rPr>
        <w:t xml:space="preserve">bracketed language, </w:t>
      </w:r>
      <w:r>
        <w:rPr>
          <w:rFonts w:ascii="AkkuratLL-Bold" w:hAnsi="AkkuratLL-Bold" w:cs="AkkuratLL-Bold"/>
          <w:b/>
          <w:bCs/>
          <w:color w:val="191919"/>
        </w:rPr>
        <w:t xml:space="preserve">must be </w:t>
      </w:r>
      <w:r>
        <w:rPr>
          <w:rFonts w:ascii="AkkuratLL-Regular" w:eastAsia="AkkuratLL-Regular" w:hAnsi="AkkuratLL-Bold" w:cs="AkkuratLL-Regular"/>
          <w:color w:val="191919"/>
        </w:rPr>
        <w:t>accompanied by a black-lined version indicating all additional</w:t>
      </w:r>
    </w:p>
    <w:p w14:paraId="09E17BEC" w14:textId="77777777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  <w:r>
        <w:rPr>
          <w:rFonts w:ascii="AkkuratLL-Regular" w:eastAsia="AkkuratLL-Regular" w:hAnsi="AkkuratLL-Bold" w:cs="AkkuratLL-Regular"/>
          <w:color w:val="191919"/>
        </w:rPr>
        <w:t>changes to the opinion. Altered opinions are subject to acceptance by the Authority and</w:t>
      </w:r>
    </w:p>
    <w:p w14:paraId="2A5BBC04" w14:textId="77777777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  <w:r>
        <w:rPr>
          <w:rFonts w:ascii="AkkuratLL-Bold" w:hAnsi="AkkuratLL-Bold" w:cs="AkkuratLL-Bold"/>
          <w:b/>
          <w:bCs/>
          <w:color w:val="191919"/>
        </w:rPr>
        <w:t xml:space="preserve">must be </w:t>
      </w:r>
      <w:r>
        <w:rPr>
          <w:rFonts w:ascii="AkkuratLL-Regular" w:eastAsia="AkkuratLL-Regular" w:hAnsi="AkkuratLL-Bold" w:cs="AkkuratLL-Regular"/>
          <w:color w:val="191919"/>
        </w:rPr>
        <w:t xml:space="preserve">approved prior to the application deadline. Submit the approval with the </w:t>
      </w:r>
      <w:proofErr w:type="gramStart"/>
      <w:r>
        <w:rPr>
          <w:rFonts w:ascii="AkkuratLL-Regular" w:eastAsia="AkkuratLL-Regular" w:hAnsi="AkkuratLL-Bold" w:cs="AkkuratLL-Regular"/>
          <w:color w:val="191919"/>
        </w:rPr>
        <w:t>changes</w:t>
      </w:r>
      <w:proofErr w:type="gramEnd"/>
    </w:p>
    <w:p w14:paraId="1C48B089" w14:textId="77777777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  <w:r>
        <w:rPr>
          <w:rFonts w:ascii="AkkuratLL-Regular" w:eastAsia="AkkuratLL-Regular" w:hAnsi="AkkuratLL-Bold" w:cs="AkkuratLL-Regular"/>
          <w:color w:val="191919"/>
        </w:rPr>
        <w:t>indicated with the final Attorney</w:t>
      </w:r>
      <w:r>
        <w:rPr>
          <w:rFonts w:ascii="AkkuratLL-Regular" w:eastAsia="AkkuratLL-Regular" w:hAnsi="AkkuratLL-Bold" w:cs="AkkuratLL-Regular" w:hint="eastAsia"/>
          <w:color w:val="191919"/>
        </w:rPr>
        <w:t>’</w:t>
      </w:r>
      <w:r>
        <w:rPr>
          <w:rFonts w:ascii="AkkuratLL-Regular" w:eastAsia="AkkuratLL-Regular" w:hAnsi="AkkuratLL-Bold" w:cs="AkkuratLL-Regular"/>
          <w:color w:val="191919"/>
        </w:rPr>
        <w:t>s Opinion.</w:t>
      </w:r>
    </w:p>
    <w:p w14:paraId="2BA92B66" w14:textId="77777777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  <w:r>
        <w:rPr>
          <w:rFonts w:ascii="AkkuratLL-Regular" w:eastAsia="AkkuratLL-Regular" w:hAnsi="AkkuratLL-Bold" w:cs="AkkuratLL-Regular"/>
          <w:color w:val="191919"/>
        </w:rPr>
        <w:t xml:space="preserve">4. </w:t>
      </w:r>
      <w:r>
        <w:rPr>
          <w:rFonts w:ascii="AkkuratLL-Bold" w:hAnsi="AkkuratLL-Bold" w:cs="AkkuratLL-Bold"/>
          <w:b/>
          <w:bCs/>
          <w:color w:val="191919"/>
        </w:rPr>
        <w:t>Be aware that there is a 9</w:t>
      </w:r>
      <w:r>
        <w:rPr>
          <w:rFonts w:ascii="AkkuratLL-Regular" w:eastAsia="AkkuratLL-Regular" w:hAnsi="AkkuratLL-Bold" w:cs="AkkuratLL-Regular"/>
          <w:color w:val="191919"/>
        </w:rPr>
        <w:t xml:space="preserve">% </w:t>
      </w:r>
      <w:r>
        <w:rPr>
          <w:rFonts w:ascii="AkkuratLL-Bold" w:hAnsi="AkkuratLL-Bold" w:cs="AkkuratLL-Bold"/>
          <w:b/>
          <w:bCs/>
          <w:color w:val="191919"/>
        </w:rPr>
        <w:t xml:space="preserve">version and a </w:t>
      </w:r>
      <w:proofErr w:type="gramStart"/>
      <w:r>
        <w:rPr>
          <w:rFonts w:ascii="AkkuratLL-Bold" w:hAnsi="AkkuratLL-Bold" w:cs="AkkuratLL-Bold"/>
          <w:b/>
          <w:bCs/>
          <w:color w:val="191919"/>
        </w:rPr>
        <w:t>Tax Exempt</w:t>
      </w:r>
      <w:proofErr w:type="gramEnd"/>
      <w:r>
        <w:rPr>
          <w:rFonts w:ascii="AkkuratLL-Bold" w:hAnsi="AkkuratLL-Bold" w:cs="AkkuratLL-Bold"/>
          <w:b/>
          <w:bCs/>
          <w:color w:val="191919"/>
        </w:rPr>
        <w:t xml:space="preserve"> version. </w:t>
      </w:r>
      <w:r>
        <w:rPr>
          <w:rFonts w:ascii="AkkuratLL-Regular" w:eastAsia="AkkuratLL-Regular" w:hAnsi="AkkuratLL-Bold" w:cs="AkkuratLL-Regular"/>
          <w:color w:val="191919"/>
        </w:rPr>
        <w:t xml:space="preserve">The </w:t>
      </w:r>
      <w:proofErr w:type="gramStart"/>
      <w:r>
        <w:rPr>
          <w:rFonts w:ascii="AkkuratLL-Regular" w:eastAsia="AkkuratLL-Regular" w:hAnsi="AkkuratLL-Bold" w:cs="AkkuratLL-Regular"/>
          <w:color w:val="191919"/>
        </w:rPr>
        <w:t>Tax Exempt</w:t>
      </w:r>
      <w:proofErr w:type="gramEnd"/>
      <w:r>
        <w:rPr>
          <w:rFonts w:ascii="AkkuratLL-Regular" w:eastAsia="AkkuratLL-Regular" w:hAnsi="AkkuratLL-Bold" w:cs="AkkuratLL-Regular"/>
          <w:color w:val="191919"/>
        </w:rPr>
        <w:t xml:space="preserve"> version is noted</w:t>
      </w:r>
    </w:p>
    <w:p w14:paraId="13F2A14E" w14:textId="77777777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  <w:r>
        <w:rPr>
          <w:rFonts w:ascii="AkkuratLL-Regular" w:eastAsia="AkkuratLL-Regular" w:hAnsi="AkkuratLL-Bold" w:cs="AkkuratLL-Regular"/>
          <w:color w:val="191919"/>
        </w:rPr>
        <w:t>in the footer. Be sure to use the correct version or the application may be subject to a penalty.</w:t>
      </w:r>
    </w:p>
    <w:p w14:paraId="5E22D81E" w14:textId="58A785A5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  <w:r>
        <w:rPr>
          <w:rFonts w:ascii="AkkuratLL-Regular" w:eastAsia="AkkuratLL-Regular" w:hAnsi="AkkuratLL-Bold" w:cs="AkkuratLL-Regular"/>
          <w:color w:val="191919"/>
        </w:rPr>
        <w:t>If you have any questions, please call the Tax Credit Allocation Department at 804-343-5518.</w:t>
      </w:r>
    </w:p>
    <w:p w14:paraId="2DBEF2A5" w14:textId="116F6668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</w:p>
    <w:p w14:paraId="79B85BAD" w14:textId="30A1E905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</w:p>
    <w:p w14:paraId="4E753151" w14:textId="00F1DBBA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</w:p>
    <w:p w14:paraId="5987263E" w14:textId="30D2F0CB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</w:p>
    <w:p w14:paraId="276C59A4" w14:textId="02B79D68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</w:p>
    <w:p w14:paraId="591E546E" w14:textId="7B99DBE6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</w:p>
    <w:p w14:paraId="5895F286" w14:textId="0B85F525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</w:p>
    <w:p w14:paraId="2D1A4696" w14:textId="6412C088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</w:p>
    <w:p w14:paraId="3E710BA8" w14:textId="11D8F53D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</w:p>
    <w:p w14:paraId="4B44EA65" w14:textId="2DE0F83D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</w:p>
    <w:p w14:paraId="2AA003F1" w14:textId="57C40ED7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</w:p>
    <w:p w14:paraId="177A233A" w14:textId="43A628BC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</w:p>
    <w:p w14:paraId="587584C5" w14:textId="2F73568E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</w:p>
    <w:p w14:paraId="76CC4905" w14:textId="161A30F1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</w:p>
    <w:p w14:paraId="05D4453A" w14:textId="3B7073F9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</w:p>
    <w:p w14:paraId="641DF03F" w14:textId="6B968417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</w:p>
    <w:p w14:paraId="08565315" w14:textId="72BDEF51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</w:p>
    <w:p w14:paraId="7B92FA72" w14:textId="509EE9B7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</w:p>
    <w:p w14:paraId="7B78E685" w14:textId="683082BC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</w:p>
    <w:p w14:paraId="28146168" w14:textId="30E996F8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</w:p>
    <w:p w14:paraId="032E30AD" w14:textId="77777777" w:rsidR="0064610C" w:rsidRDefault="0064610C" w:rsidP="0064610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kkuratLL-Bold" w:hAnsi="AkkuratLL-Bold" w:cs="AkkuratLL-Bold"/>
          <w:b/>
          <w:bCs/>
          <w:color w:val="3DA351"/>
          <w:sz w:val="26"/>
          <w:szCs w:val="26"/>
        </w:rPr>
      </w:pPr>
    </w:p>
    <w:p w14:paraId="1CA930EC" w14:textId="77777777" w:rsidR="0064610C" w:rsidRDefault="0064610C" w:rsidP="0064610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kkuratLL-Bold" w:hAnsi="AkkuratLL-Bold" w:cs="AkkuratLL-Bold"/>
          <w:b/>
          <w:bCs/>
          <w:color w:val="3DA351"/>
          <w:sz w:val="26"/>
          <w:szCs w:val="26"/>
        </w:rPr>
      </w:pPr>
    </w:p>
    <w:p w14:paraId="5C260EF0" w14:textId="77777777" w:rsidR="0064610C" w:rsidRDefault="0064610C" w:rsidP="0064610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kkuratLL-Bold" w:hAnsi="AkkuratLL-Bold" w:cs="AkkuratLL-Bold"/>
          <w:b/>
          <w:bCs/>
          <w:color w:val="3DA351"/>
          <w:sz w:val="26"/>
          <w:szCs w:val="26"/>
        </w:rPr>
      </w:pPr>
    </w:p>
    <w:p w14:paraId="1F180871" w14:textId="77777777" w:rsidR="0064610C" w:rsidRDefault="0064610C" w:rsidP="0064610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kkuratLL-Bold" w:hAnsi="AkkuratLL-Bold" w:cs="AkkuratLL-Bold"/>
          <w:b/>
          <w:bCs/>
          <w:color w:val="3DA351"/>
          <w:sz w:val="26"/>
          <w:szCs w:val="26"/>
        </w:rPr>
      </w:pPr>
    </w:p>
    <w:p w14:paraId="7CB117F3" w14:textId="77777777" w:rsidR="0064610C" w:rsidRDefault="0064610C" w:rsidP="0064610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kkuratLL-Bold" w:hAnsi="AkkuratLL-Bold" w:cs="AkkuratLL-Bold"/>
          <w:b/>
          <w:bCs/>
          <w:color w:val="3DA351"/>
          <w:sz w:val="26"/>
          <w:szCs w:val="26"/>
        </w:rPr>
      </w:pPr>
    </w:p>
    <w:p w14:paraId="20534BBE" w14:textId="77777777" w:rsidR="0064610C" w:rsidRDefault="0064610C" w:rsidP="0064610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kkuratLL-Bold" w:hAnsi="AkkuratLL-Bold" w:cs="AkkuratLL-Bold"/>
          <w:b/>
          <w:bCs/>
          <w:color w:val="3DA351"/>
          <w:sz w:val="26"/>
          <w:szCs w:val="26"/>
        </w:rPr>
      </w:pPr>
    </w:p>
    <w:p w14:paraId="79C9EC3C" w14:textId="30F0C8C7" w:rsidR="0064610C" w:rsidRDefault="0064610C" w:rsidP="0064610C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kkuratLL-Bold" w:hAnsi="AkkuratLL-Bold" w:cs="AkkuratLL-Bold"/>
          <w:b/>
          <w:bCs/>
          <w:color w:val="3DA351"/>
          <w:sz w:val="26"/>
          <w:szCs w:val="26"/>
        </w:rPr>
      </w:pPr>
      <w:r>
        <w:rPr>
          <w:rFonts w:ascii="AkkuratLL-Bold" w:hAnsi="AkkuratLL-Bold" w:cs="AkkuratLL-Bold"/>
          <w:b/>
          <w:bCs/>
          <w:color w:val="3DA351"/>
          <w:sz w:val="26"/>
          <w:szCs w:val="26"/>
        </w:rPr>
        <w:t>Attorney’s Opinion Letter</w:t>
      </w:r>
    </w:p>
    <w:p w14:paraId="22AB3D26" w14:textId="77777777" w:rsidR="007A47F9" w:rsidRDefault="007A47F9" w:rsidP="0064610C">
      <w:pPr>
        <w:autoSpaceDE w:val="0"/>
        <w:autoSpaceDN w:val="0"/>
        <w:adjustRightInd w:val="0"/>
        <w:spacing w:after="0" w:line="240" w:lineRule="auto"/>
        <w:ind w:left="3600" w:firstLine="720"/>
        <w:rPr>
          <w:rFonts w:cstheme="minorHAnsi"/>
          <w:b/>
          <w:bCs/>
          <w:color w:val="191919"/>
          <w:sz w:val="24"/>
          <w:szCs w:val="24"/>
        </w:rPr>
      </w:pPr>
    </w:p>
    <w:p w14:paraId="5278A4DE" w14:textId="639D3FF3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ind w:left="3600" w:firstLine="720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cstheme="minorHAnsi"/>
          <w:b/>
          <w:bCs/>
          <w:color w:val="191919"/>
          <w:sz w:val="24"/>
          <w:szCs w:val="24"/>
        </w:rPr>
        <w:t xml:space="preserve">Date </w:t>
      </w:r>
      <w:r w:rsidRPr="0064610C">
        <w:rPr>
          <w:rFonts w:eastAsia="AkkuratLL-Regular" w:cstheme="minorHAnsi"/>
          <w:color w:val="191919"/>
          <w:sz w:val="24"/>
          <w:szCs w:val="24"/>
        </w:rPr>
        <w:t>(Must be on or after the application date below)</w:t>
      </w:r>
    </w:p>
    <w:p w14:paraId="5849914D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91919"/>
          <w:sz w:val="24"/>
          <w:szCs w:val="24"/>
        </w:rPr>
      </w:pPr>
    </w:p>
    <w:p w14:paraId="7959C837" w14:textId="368D7C82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cstheme="minorHAnsi"/>
          <w:b/>
          <w:bCs/>
          <w:color w:val="191919"/>
          <w:sz w:val="24"/>
          <w:szCs w:val="24"/>
        </w:rPr>
        <w:t xml:space="preserve">To </w:t>
      </w:r>
      <w:r w:rsidRPr="0064610C">
        <w:rPr>
          <w:rFonts w:eastAsia="AkkuratLL-Regular" w:cstheme="minorHAnsi"/>
          <w:color w:val="191919"/>
          <w:sz w:val="24"/>
          <w:szCs w:val="24"/>
        </w:rPr>
        <w:t>Virginia Housing</w:t>
      </w:r>
    </w:p>
    <w:p w14:paraId="0462D195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601 South Belvidere Street</w:t>
      </w:r>
    </w:p>
    <w:p w14:paraId="5E0EEE4F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Richmond, Virginia 23220</w:t>
      </w:r>
    </w:p>
    <w:p w14:paraId="7CE7CE43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91919"/>
          <w:sz w:val="24"/>
          <w:szCs w:val="24"/>
        </w:rPr>
      </w:pPr>
    </w:p>
    <w:p w14:paraId="469CD473" w14:textId="77777777" w:rsidR="0064610C" w:rsidRPr="0064610C" w:rsidRDefault="0064610C" w:rsidP="007A47F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91919"/>
          <w:sz w:val="24"/>
          <w:szCs w:val="24"/>
        </w:rPr>
      </w:pPr>
    </w:p>
    <w:p w14:paraId="7DD93AD7" w14:textId="63E0EACE" w:rsidR="0064610C" w:rsidRPr="0064610C" w:rsidRDefault="0064610C" w:rsidP="007A47F9">
      <w:pPr>
        <w:autoSpaceDE w:val="0"/>
        <w:autoSpaceDN w:val="0"/>
        <w:adjustRightInd w:val="0"/>
        <w:spacing w:after="0" w:line="36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cstheme="minorHAnsi"/>
          <w:b/>
          <w:bCs/>
          <w:color w:val="191919"/>
          <w:sz w:val="24"/>
          <w:szCs w:val="24"/>
        </w:rPr>
        <w:t>RE</w:t>
      </w:r>
      <w:r w:rsidRPr="0064610C">
        <w:rPr>
          <w:rFonts w:eastAsia="AkkuratLL-Regular" w:cstheme="minorHAnsi"/>
          <w:color w:val="191919"/>
          <w:sz w:val="24"/>
          <w:szCs w:val="24"/>
        </w:rPr>
        <w:t>: 2023 Tax Credit Reservation Request</w:t>
      </w:r>
    </w:p>
    <w:p w14:paraId="31E48A04" w14:textId="77777777" w:rsidR="007A47F9" w:rsidRDefault="0064610C" w:rsidP="007A47F9">
      <w:pPr>
        <w:autoSpaceDE w:val="0"/>
        <w:autoSpaceDN w:val="0"/>
        <w:adjustRightInd w:val="0"/>
        <w:spacing w:after="0" w:line="36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Name of Development</w:t>
      </w:r>
      <w:r w:rsidR="007A47F9">
        <w:rPr>
          <w:rFonts w:eastAsia="AkkuratLL-Regular" w:cstheme="minorHAnsi"/>
          <w:color w:val="191919"/>
          <w:sz w:val="24"/>
          <w:szCs w:val="24"/>
        </w:rPr>
        <w:t>____________________________________</w:t>
      </w:r>
    </w:p>
    <w:p w14:paraId="2647C9AC" w14:textId="1BE4C19E" w:rsidR="0064610C" w:rsidRDefault="0064610C" w:rsidP="007A47F9">
      <w:pPr>
        <w:autoSpaceDE w:val="0"/>
        <w:autoSpaceDN w:val="0"/>
        <w:adjustRightInd w:val="0"/>
        <w:spacing w:after="0" w:line="36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Name of Owner</w:t>
      </w:r>
      <w:r w:rsidR="007A47F9">
        <w:rPr>
          <w:rFonts w:eastAsia="AkkuratLL-Regular" w:cstheme="minorHAnsi"/>
          <w:color w:val="191919"/>
          <w:sz w:val="24"/>
          <w:szCs w:val="24"/>
        </w:rPr>
        <w:t>_________________________________________</w:t>
      </w:r>
    </w:p>
    <w:p w14:paraId="2A43A6AD" w14:textId="77777777" w:rsidR="007A47F9" w:rsidRPr="0064610C" w:rsidRDefault="007A47F9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</w:p>
    <w:p w14:paraId="2B10931E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Ladies and Gentlemen:</w:t>
      </w:r>
    </w:p>
    <w:p w14:paraId="53662218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</w:p>
    <w:p w14:paraId="35E8B240" w14:textId="098F2409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 xml:space="preserve">This undersigned firm represents the above-referenced Owner as its counsel. It has </w:t>
      </w:r>
      <w:proofErr w:type="gramStart"/>
      <w:r w:rsidRPr="0064610C">
        <w:rPr>
          <w:rFonts w:eastAsia="AkkuratLL-Regular" w:cstheme="minorHAnsi"/>
          <w:color w:val="191919"/>
          <w:sz w:val="24"/>
          <w:szCs w:val="24"/>
        </w:rPr>
        <w:t>received</w:t>
      </w:r>
      <w:proofErr w:type="gramEnd"/>
    </w:p>
    <w:p w14:paraId="3B0B1E9C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a copy of and has reviewed the completed application package dated (of which this</w:t>
      </w:r>
    </w:p>
    <w:p w14:paraId="34A22CF3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 xml:space="preserve">opinion is a part) (the “Application”) submitted to you for the purpose of requesting, in </w:t>
      </w:r>
      <w:proofErr w:type="gramStart"/>
      <w:r w:rsidRPr="0064610C">
        <w:rPr>
          <w:rFonts w:eastAsia="AkkuratLL-Regular" w:cstheme="minorHAnsi"/>
          <w:color w:val="191919"/>
          <w:sz w:val="24"/>
          <w:szCs w:val="24"/>
        </w:rPr>
        <w:t>connection</w:t>
      </w:r>
      <w:proofErr w:type="gramEnd"/>
    </w:p>
    <w:p w14:paraId="4CA33DCB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 xml:space="preserve">with the captioned Development, a reservation of </w:t>
      </w:r>
      <w:proofErr w:type="gramStart"/>
      <w:r w:rsidRPr="0064610C">
        <w:rPr>
          <w:rFonts w:eastAsia="AkkuratLL-Regular" w:cstheme="minorHAnsi"/>
          <w:color w:val="191919"/>
          <w:sz w:val="24"/>
          <w:szCs w:val="24"/>
        </w:rPr>
        <w:t>low income</w:t>
      </w:r>
      <w:proofErr w:type="gramEnd"/>
      <w:r w:rsidRPr="0064610C">
        <w:rPr>
          <w:rFonts w:eastAsia="AkkuratLL-Regular" w:cstheme="minorHAnsi"/>
          <w:color w:val="191919"/>
          <w:sz w:val="24"/>
          <w:szCs w:val="24"/>
        </w:rPr>
        <w:t xml:space="preserve"> housing tax credits (“Credits”)</w:t>
      </w:r>
    </w:p>
    <w:p w14:paraId="2D867495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available under Section 42 of the Internal Revenue Code of 1986, as amended (the “Code”). It has</w:t>
      </w:r>
    </w:p>
    <w:p w14:paraId="1A3337D2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 xml:space="preserve">also reviewed Section 42 of the Code, the regulations issued pursuant thereto and such </w:t>
      </w:r>
      <w:proofErr w:type="gramStart"/>
      <w:r w:rsidRPr="0064610C">
        <w:rPr>
          <w:rFonts w:eastAsia="AkkuratLL-Regular" w:cstheme="minorHAnsi"/>
          <w:color w:val="191919"/>
          <w:sz w:val="24"/>
          <w:szCs w:val="24"/>
        </w:rPr>
        <w:t>other</w:t>
      </w:r>
      <w:proofErr w:type="gramEnd"/>
    </w:p>
    <w:p w14:paraId="39F135E7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binding authority as it believes to be applicable to the issuance hereof (the regulations and binding</w:t>
      </w:r>
    </w:p>
    <w:p w14:paraId="75ADA4C0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authority hereinafter collectively referred to as the “Regulations”).</w:t>
      </w:r>
    </w:p>
    <w:p w14:paraId="54570548" w14:textId="77777777" w:rsidR="007A47F9" w:rsidRDefault="007A47F9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</w:p>
    <w:p w14:paraId="21963EAE" w14:textId="1E55958D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 xml:space="preserve">Based upon the foregoing reviews and upon due investigation of such matters as it </w:t>
      </w:r>
      <w:proofErr w:type="gramStart"/>
      <w:r w:rsidRPr="0064610C">
        <w:rPr>
          <w:rFonts w:eastAsia="AkkuratLL-Regular" w:cstheme="minorHAnsi"/>
          <w:color w:val="191919"/>
          <w:sz w:val="24"/>
          <w:szCs w:val="24"/>
        </w:rPr>
        <w:t>deems</w:t>
      </w:r>
      <w:proofErr w:type="gramEnd"/>
    </w:p>
    <w:p w14:paraId="1BEF6677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 xml:space="preserve">necessary </w:t>
      </w:r>
      <w:proofErr w:type="gramStart"/>
      <w:r w:rsidRPr="0064610C">
        <w:rPr>
          <w:rFonts w:eastAsia="AkkuratLL-Regular" w:cstheme="minorHAnsi"/>
          <w:color w:val="191919"/>
          <w:sz w:val="24"/>
          <w:szCs w:val="24"/>
        </w:rPr>
        <w:t>in order to</w:t>
      </w:r>
      <w:proofErr w:type="gramEnd"/>
      <w:r w:rsidRPr="0064610C">
        <w:rPr>
          <w:rFonts w:eastAsia="AkkuratLL-Regular" w:cstheme="minorHAnsi"/>
          <w:color w:val="191919"/>
          <w:sz w:val="24"/>
          <w:szCs w:val="24"/>
        </w:rPr>
        <w:t xml:space="preserve"> render this opinion, but without expressing any opinion as to either the</w:t>
      </w:r>
    </w:p>
    <w:p w14:paraId="4A3AA11F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reasonableness of the estimated or projected figures or the veracity or accuracy of the factual</w:t>
      </w:r>
    </w:p>
    <w:p w14:paraId="4643FD73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representations set forth in the Application, the undersigned is of the opinion that:</w:t>
      </w:r>
    </w:p>
    <w:p w14:paraId="4212598A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</w:p>
    <w:p w14:paraId="395F00CA" w14:textId="09C0BCA9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1. It is more likely than not that the inclusion in eligible basis of the Development of such</w:t>
      </w:r>
    </w:p>
    <w:p w14:paraId="0CAE2153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cost items or portions thereof, as set forth in Hard Costs and Owners Costs section of the</w:t>
      </w:r>
    </w:p>
    <w:p w14:paraId="0F411BC3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proofErr w:type="gramStart"/>
      <w:r w:rsidRPr="0064610C">
        <w:rPr>
          <w:rFonts w:eastAsia="AkkuratLL-Regular" w:cstheme="minorHAnsi"/>
          <w:color w:val="191919"/>
          <w:sz w:val="24"/>
          <w:szCs w:val="24"/>
        </w:rPr>
        <w:t>Application form,</w:t>
      </w:r>
      <w:proofErr w:type="gramEnd"/>
      <w:r w:rsidRPr="0064610C">
        <w:rPr>
          <w:rFonts w:eastAsia="AkkuratLL-Regular" w:cstheme="minorHAnsi"/>
          <w:color w:val="191919"/>
          <w:sz w:val="24"/>
          <w:szCs w:val="24"/>
        </w:rPr>
        <w:t xml:space="preserve"> complies with all applicable requirements of the Code and Regulations.</w:t>
      </w:r>
    </w:p>
    <w:p w14:paraId="4342113C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</w:p>
    <w:p w14:paraId="4FD2BA91" w14:textId="5501DB2C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2. The calculations (a) of the Maximum Allowable Credit available under the Code with</w:t>
      </w:r>
    </w:p>
    <w:p w14:paraId="624C2564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respect to the Development and (b) of the Estimated Qualified Basis of each building in the</w:t>
      </w:r>
    </w:p>
    <w:p w14:paraId="1E434991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 xml:space="preserve">Development </w:t>
      </w:r>
      <w:proofErr w:type="gramStart"/>
      <w:r w:rsidRPr="0064610C">
        <w:rPr>
          <w:rFonts w:eastAsia="AkkuratLL-Regular" w:cstheme="minorHAnsi"/>
          <w:color w:val="191919"/>
          <w:sz w:val="24"/>
          <w:szCs w:val="24"/>
        </w:rPr>
        <w:t>comply</w:t>
      </w:r>
      <w:proofErr w:type="gramEnd"/>
      <w:r w:rsidRPr="0064610C">
        <w:rPr>
          <w:rFonts w:eastAsia="AkkuratLL-Regular" w:cstheme="minorHAnsi"/>
          <w:color w:val="191919"/>
          <w:sz w:val="24"/>
          <w:szCs w:val="24"/>
        </w:rPr>
        <w:t xml:space="preserve"> with all applicable requirements of the Code and regulations, including</w:t>
      </w:r>
    </w:p>
    <w:p w14:paraId="166A0A28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the selection of credit type implicit in such calculations.</w:t>
      </w:r>
    </w:p>
    <w:p w14:paraId="71EC8F98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</w:p>
    <w:p w14:paraId="7D146922" w14:textId="589BF400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3. The appropriate type(s) of allocation(s) have been requested in the Reservation Request</w:t>
      </w:r>
    </w:p>
    <w:p w14:paraId="13123DEE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Information section in the Application form.</w:t>
      </w:r>
    </w:p>
    <w:p w14:paraId="0F041DD9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</w:p>
    <w:p w14:paraId="3DDEA19D" w14:textId="1B4DB421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4. The information set forth in the Unit Details section of the Application form as to proposed</w:t>
      </w:r>
    </w:p>
    <w:p w14:paraId="20EAC8D2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 xml:space="preserve">rents </w:t>
      </w:r>
      <w:proofErr w:type="gramStart"/>
      <w:r w:rsidRPr="0064610C">
        <w:rPr>
          <w:rFonts w:eastAsia="AkkuratLL-Regular" w:cstheme="minorHAnsi"/>
          <w:color w:val="191919"/>
          <w:sz w:val="24"/>
          <w:szCs w:val="24"/>
        </w:rPr>
        <w:t>satisfies</w:t>
      </w:r>
      <w:proofErr w:type="gramEnd"/>
      <w:r w:rsidRPr="0064610C">
        <w:rPr>
          <w:rFonts w:eastAsia="AkkuratLL-Regular" w:cstheme="minorHAnsi"/>
          <w:color w:val="191919"/>
          <w:sz w:val="24"/>
          <w:szCs w:val="24"/>
        </w:rPr>
        <w:t xml:space="preserve"> all applicable requirements of the Code and Regulations.</w:t>
      </w:r>
    </w:p>
    <w:p w14:paraId="28965892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</w:p>
    <w:p w14:paraId="6A26F063" w14:textId="2BF9C8BA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lastRenderedPageBreak/>
        <w:t>5. The site of the captioned Development is controlled by the Owner, as identified in the Site</w:t>
      </w:r>
    </w:p>
    <w:p w14:paraId="72E0E678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Control section of the Application, for a period of not less than four (4) months beyond the</w:t>
      </w:r>
    </w:p>
    <w:p w14:paraId="64CC2BF5" w14:textId="24910846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 xml:space="preserve">application deadline. </w:t>
      </w:r>
      <w:r w:rsidRPr="0064610C">
        <w:rPr>
          <w:rFonts w:cstheme="minorHAnsi"/>
          <w:color w:val="000000"/>
          <w:sz w:val="24"/>
          <w:szCs w:val="24"/>
        </w:rPr>
        <w:t>02/16/2023</w:t>
      </w:r>
    </w:p>
    <w:p w14:paraId="278FF49A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87DE87A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6. [Delete if inapplicable] The type of the nonprofit organization involved in the Development</w:t>
      </w:r>
    </w:p>
    <w:p w14:paraId="714C7C70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 xml:space="preserve">is an organization described in Code Section 501(c)(3) or 501(c)(4) and exempt from </w:t>
      </w:r>
      <w:proofErr w:type="gramStart"/>
      <w:r w:rsidRPr="0064610C">
        <w:rPr>
          <w:rFonts w:eastAsia="AkkuratLL-Regular" w:cstheme="minorHAnsi"/>
          <w:color w:val="191919"/>
          <w:sz w:val="24"/>
          <w:szCs w:val="24"/>
        </w:rPr>
        <w:t>taxation</w:t>
      </w:r>
      <w:proofErr w:type="gramEnd"/>
    </w:p>
    <w:p w14:paraId="1E4ED903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under Code Section 501(a), whose purposes include the fostering of low-income housing.</w:t>
      </w:r>
    </w:p>
    <w:p w14:paraId="1FB3BE38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</w:p>
    <w:p w14:paraId="51E81989" w14:textId="2AD09A14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7. [Delete if inapplicable] The nonprofit organizations’ ownership interest in the development is</w:t>
      </w:r>
    </w:p>
    <w:p w14:paraId="5028879E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as described in the Nonprofit Involvement section of the Application form.</w:t>
      </w:r>
    </w:p>
    <w:p w14:paraId="6FC7CEE0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</w:p>
    <w:p w14:paraId="3DE792FD" w14:textId="4D9532B9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8. [Delete if inapplicable] It is more likely than not that the representations made under the Rehab</w:t>
      </w:r>
    </w:p>
    <w:p w14:paraId="77FEBE89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Information section of the Application form as to the Development’s compliance with or exception</w:t>
      </w:r>
    </w:p>
    <w:p w14:paraId="02E08AAE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to the Code’s minimum expenditure requirements for rehabilitation projects are correct.</w:t>
      </w:r>
    </w:p>
    <w:p w14:paraId="5DA44946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</w:p>
    <w:p w14:paraId="7B34E0E4" w14:textId="5F586840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9. [Delete if inapplicable] After reasonable investigation, the undersigned has no reason to</w:t>
      </w:r>
    </w:p>
    <w:p w14:paraId="36A48710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 xml:space="preserve">believe that the representations made under the Rehab Information (Ten-Year Rule) </w:t>
      </w:r>
      <w:proofErr w:type="gramStart"/>
      <w:r w:rsidRPr="0064610C">
        <w:rPr>
          <w:rFonts w:eastAsia="AkkuratLL-Regular" w:cstheme="minorHAnsi"/>
          <w:color w:val="191919"/>
          <w:sz w:val="24"/>
          <w:szCs w:val="24"/>
        </w:rPr>
        <w:t>section</w:t>
      </w:r>
      <w:proofErr w:type="gramEnd"/>
    </w:p>
    <w:p w14:paraId="60DE4182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of the Application form as to the Development’s compliance with or eligibility for exception</w:t>
      </w:r>
    </w:p>
    <w:p w14:paraId="49840A1E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to the ten-year “look-back rule” requirement of Code 42(d)(2)(B) are not correct.</w:t>
      </w:r>
    </w:p>
    <w:p w14:paraId="307DB351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</w:p>
    <w:p w14:paraId="6984FE55" w14:textId="1474FA2F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 xml:space="preserve">Finally, the undersigned is of the opinion that if all information and </w:t>
      </w:r>
      <w:proofErr w:type="gramStart"/>
      <w:r w:rsidRPr="0064610C">
        <w:rPr>
          <w:rFonts w:eastAsia="AkkuratLL-Regular" w:cstheme="minorHAnsi"/>
          <w:color w:val="191919"/>
          <w:sz w:val="24"/>
          <w:szCs w:val="24"/>
        </w:rPr>
        <w:t>representations</w:t>
      </w:r>
      <w:proofErr w:type="gramEnd"/>
    </w:p>
    <w:p w14:paraId="2E1DF020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contained in the Application and all current law were to remain unchanged, upon compliance by</w:t>
      </w:r>
    </w:p>
    <w:p w14:paraId="4D91CF05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the Owner with the requirements of Code Section 42(h)(1)(E), the Owner would be eligible under the</w:t>
      </w:r>
    </w:p>
    <w:p w14:paraId="6DBFD306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applicable provisions of the Code and the Regulations to an allocation of Credits in the amount(s)</w:t>
      </w:r>
    </w:p>
    <w:p w14:paraId="730F6FB5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requested in the Application.</w:t>
      </w:r>
    </w:p>
    <w:p w14:paraId="2A1ACD8D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</w:p>
    <w:p w14:paraId="323D6D90" w14:textId="6AF73E38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This opinion is rendered solely for the purpose of inducing the Virginia Housing Development</w:t>
      </w:r>
    </w:p>
    <w:p w14:paraId="79A0FC0F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Authority (“Virginia Housing”) to issue a reservation of Credits to the Owner. Accordingly, it may</w:t>
      </w:r>
    </w:p>
    <w:p w14:paraId="2FF2C7FB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 xml:space="preserve">be relied upon only by Virginia Housing and may not be relied upon by any other party for any </w:t>
      </w:r>
      <w:proofErr w:type="gramStart"/>
      <w:r w:rsidRPr="0064610C">
        <w:rPr>
          <w:rFonts w:eastAsia="AkkuratLL-Regular" w:cstheme="minorHAnsi"/>
          <w:color w:val="191919"/>
          <w:sz w:val="24"/>
          <w:szCs w:val="24"/>
        </w:rPr>
        <w:t>other</w:t>
      </w:r>
      <w:proofErr w:type="gramEnd"/>
    </w:p>
    <w:p w14:paraId="0FEEBDD4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eastAsia="AkkuratLL-Regular" w:cstheme="minorHAnsi"/>
          <w:color w:val="191919"/>
          <w:sz w:val="24"/>
          <w:szCs w:val="24"/>
        </w:rPr>
      </w:pPr>
      <w:r w:rsidRPr="0064610C">
        <w:rPr>
          <w:rFonts w:eastAsia="AkkuratLL-Regular" w:cstheme="minorHAnsi"/>
          <w:color w:val="191919"/>
          <w:sz w:val="24"/>
          <w:szCs w:val="24"/>
        </w:rPr>
        <w:t>purpose.</w:t>
      </w:r>
    </w:p>
    <w:p w14:paraId="4A21FD1C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91919"/>
          <w:sz w:val="24"/>
          <w:szCs w:val="24"/>
        </w:rPr>
      </w:pPr>
    </w:p>
    <w:p w14:paraId="54F53918" w14:textId="614C6094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91919"/>
          <w:sz w:val="24"/>
          <w:szCs w:val="24"/>
        </w:rPr>
      </w:pPr>
      <w:r w:rsidRPr="0064610C">
        <w:rPr>
          <w:rFonts w:cstheme="minorHAnsi"/>
          <w:b/>
          <w:bCs/>
          <w:color w:val="191919"/>
          <w:sz w:val="24"/>
          <w:szCs w:val="24"/>
        </w:rPr>
        <w:t>This opinion was not prepared in accordance with the requirements of Treasury Department</w:t>
      </w:r>
    </w:p>
    <w:p w14:paraId="5E9C27B5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91919"/>
          <w:sz w:val="24"/>
          <w:szCs w:val="24"/>
        </w:rPr>
      </w:pPr>
      <w:r w:rsidRPr="0064610C">
        <w:rPr>
          <w:rFonts w:cstheme="minorHAnsi"/>
          <w:b/>
          <w:bCs/>
          <w:color w:val="191919"/>
          <w:sz w:val="24"/>
          <w:szCs w:val="24"/>
        </w:rPr>
        <w:t xml:space="preserve">Circular No. 230. Accordingly, it may not be relied upon for the purpose of avoiding U.S. Federal </w:t>
      </w:r>
      <w:proofErr w:type="gramStart"/>
      <w:r w:rsidRPr="0064610C">
        <w:rPr>
          <w:rFonts w:cstheme="minorHAnsi"/>
          <w:b/>
          <w:bCs/>
          <w:color w:val="191919"/>
          <w:sz w:val="24"/>
          <w:szCs w:val="24"/>
        </w:rPr>
        <w:t>tax</w:t>
      </w:r>
      <w:proofErr w:type="gramEnd"/>
    </w:p>
    <w:p w14:paraId="27AC2A5D" w14:textId="77777777" w:rsidR="0064610C" w:rsidRP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91919"/>
          <w:sz w:val="24"/>
          <w:szCs w:val="24"/>
        </w:rPr>
      </w:pPr>
      <w:r w:rsidRPr="0064610C">
        <w:rPr>
          <w:rFonts w:cstheme="minorHAnsi"/>
          <w:b/>
          <w:bCs/>
          <w:color w:val="191919"/>
          <w:sz w:val="24"/>
          <w:szCs w:val="24"/>
        </w:rPr>
        <w:t>penalties or to support the promotion or marketing of the transaction or matters addressed herein.</w:t>
      </w:r>
    </w:p>
    <w:p w14:paraId="07068B32" w14:textId="77777777" w:rsidR="0064610C" w:rsidRDefault="0064610C" w:rsidP="0064610C">
      <w:pPr>
        <w:autoSpaceDE w:val="0"/>
        <w:autoSpaceDN w:val="0"/>
        <w:adjustRightInd w:val="0"/>
        <w:spacing w:after="0" w:line="240" w:lineRule="auto"/>
        <w:rPr>
          <w:rFonts w:ascii="AkkuratLL-Regular" w:eastAsia="AkkuratLL-Regular" w:hAnsi="AkkuratLL-Bold" w:cs="AkkuratLL-Regular"/>
          <w:color w:val="191919"/>
        </w:rPr>
      </w:pPr>
    </w:p>
    <w:p w14:paraId="12E202F0" w14:textId="14F7F1DE" w:rsidR="0064610C" w:rsidRDefault="0064610C" w:rsidP="007A47F9">
      <w:pPr>
        <w:autoSpaceDE w:val="0"/>
        <w:autoSpaceDN w:val="0"/>
        <w:adjustRightInd w:val="0"/>
        <w:spacing w:after="0" w:line="480" w:lineRule="auto"/>
        <w:rPr>
          <w:rFonts w:ascii="AkkuratLL-Regular" w:eastAsia="AkkuratLL-Regular" w:hAnsi="AkkuratLL-Bold" w:cs="AkkuratLL-Regular"/>
          <w:color w:val="191919"/>
        </w:rPr>
      </w:pPr>
      <w:r>
        <w:rPr>
          <w:rFonts w:ascii="AkkuratLL-Regular" w:eastAsia="AkkuratLL-Regular" w:hAnsi="AkkuratLL-Bold" w:cs="AkkuratLL-Regular"/>
          <w:color w:val="191919"/>
        </w:rPr>
        <w:t>Firm Name</w:t>
      </w:r>
    </w:p>
    <w:p w14:paraId="039759CD" w14:textId="2B4D3070" w:rsidR="0064610C" w:rsidRDefault="0064610C" w:rsidP="007A47F9">
      <w:pPr>
        <w:autoSpaceDE w:val="0"/>
        <w:autoSpaceDN w:val="0"/>
        <w:adjustRightInd w:val="0"/>
        <w:spacing w:after="0" w:line="480" w:lineRule="auto"/>
        <w:rPr>
          <w:rFonts w:ascii="AkkuratLL-Regular" w:eastAsia="AkkuratLL-Regular" w:hAnsi="AkkuratLL-Bold" w:cs="AkkuratLL-Regular"/>
          <w:color w:val="191919"/>
        </w:rPr>
      </w:pPr>
      <w:r>
        <w:rPr>
          <w:rFonts w:ascii="AkkuratLL-Regular" w:eastAsia="AkkuratLL-Regular" w:hAnsi="AkkuratLL-Bold" w:cs="AkkuratLL-Regular"/>
          <w:color w:val="191919"/>
        </w:rPr>
        <w:t>By____________________________________________</w:t>
      </w:r>
    </w:p>
    <w:p w14:paraId="605CD22E" w14:textId="5A9D44CD" w:rsidR="0064610C" w:rsidRDefault="0064610C" w:rsidP="007A47F9">
      <w:pPr>
        <w:autoSpaceDE w:val="0"/>
        <w:autoSpaceDN w:val="0"/>
        <w:adjustRightInd w:val="0"/>
        <w:spacing w:after="0" w:line="480" w:lineRule="auto"/>
        <w:rPr>
          <w:rFonts w:ascii="AkkuratLL-Regular" w:eastAsia="AkkuratLL-Regular" w:hAnsi="AkkuratLL-Bold" w:cs="AkkuratLL-Regular"/>
          <w:color w:val="191919"/>
        </w:rPr>
      </w:pPr>
      <w:r>
        <w:rPr>
          <w:rFonts w:ascii="AkkuratLL-Regular" w:eastAsia="AkkuratLL-Regular" w:hAnsi="AkkuratLL-Bold" w:cs="AkkuratLL-Regular"/>
          <w:color w:val="191919"/>
        </w:rPr>
        <w:t>Its____________________________________________</w:t>
      </w:r>
    </w:p>
    <w:p w14:paraId="0F616639" w14:textId="3A450AEF" w:rsidR="0064610C" w:rsidRDefault="0064610C" w:rsidP="007A47F9">
      <w:pPr>
        <w:autoSpaceDE w:val="0"/>
        <w:autoSpaceDN w:val="0"/>
        <w:adjustRightInd w:val="0"/>
        <w:spacing w:after="0" w:line="480" w:lineRule="auto"/>
        <w:rPr>
          <w:rFonts w:ascii="AkkuratLL-Bold" w:hAnsi="AkkuratLL-Bold" w:cs="AkkuratLL-Bold"/>
          <w:b/>
          <w:bCs/>
          <w:color w:val="3DA351"/>
          <w:sz w:val="26"/>
          <w:szCs w:val="26"/>
        </w:rPr>
      </w:pPr>
      <w:r>
        <w:rPr>
          <w:rFonts w:ascii="AkkuratLL-Regular" w:eastAsia="AkkuratLL-Regular" w:hAnsi="AkkuratLL-Bold" w:cs="AkkuratLL-Regular"/>
          <w:color w:val="191919"/>
        </w:rPr>
        <w:t>Title__________________________________________</w:t>
      </w:r>
    </w:p>
    <w:sectPr w:rsidR="0064610C" w:rsidSect="0064610C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171B" w14:textId="77777777" w:rsidR="0064610C" w:rsidRDefault="0064610C" w:rsidP="0064610C">
      <w:pPr>
        <w:spacing w:after="0" w:line="240" w:lineRule="auto"/>
      </w:pPr>
      <w:r>
        <w:separator/>
      </w:r>
    </w:p>
  </w:endnote>
  <w:endnote w:type="continuationSeparator" w:id="0">
    <w:p w14:paraId="34D45F5C" w14:textId="77777777" w:rsidR="0064610C" w:rsidRDefault="0064610C" w:rsidP="0064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kuratLL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kuratLL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2F74" w14:textId="4ED62F78" w:rsidR="0064610C" w:rsidRDefault="0064610C">
    <w:pPr>
      <w:pStyle w:val="Footer"/>
    </w:pPr>
    <w:r>
      <w:t>9% 2023</w:t>
    </w:r>
  </w:p>
  <w:p w14:paraId="20B898FA" w14:textId="77777777" w:rsidR="0064610C" w:rsidRDefault="00646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5A322" w14:textId="77777777" w:rsidR="0064610C" w:rsidRDefault="0064610C" w:rsidP="0064610C">
      <w:pPr>
        <w:spacing w:after="0" w:line="240" w:lineRule="auto"/>
      </w:pPr>
      <w:r>
        <w:separator/>
      </w:r>
    </w:p>
  </w:footnote>
  <w:footnote w:type="continuationSeparator" w:id="0">
    <w:p w14:paraId="0C776C95" w14:textId="77777777" w:rsidR="0064610C" w:rsidRDefault="0064610C" w:rsidP="00646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0C"/>
    <w:rsid w:val="00092CFE"/>
    <w:rsid w:val="0064610C"/>
    <w:rsid w:val="007A47F9"/>
    <w:rsid w:val="0086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EE7D"/>
  <w15:chartTrackingRefBased/>
  <w15:docId w15:val="{022D8553-06C1-4F46-BA31-60441EA3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10C"/>
  </w:style>
  <w:style w:type="paragraph" w:styleId="Footer">
    <w:name w:val="footer"/>
    <w:basedOn w:val="Normal"/>
    <w:link w:val="FooterChar"/>
    <w:uiPriority w:val="99"/>
    <w:unhideWhenUsed/>
    <w:rsid w:val="00646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Housing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Swartzenberg-Freeth, Pamela</dc:creator>
  <cp:keywords/>
  <dc:description/>
  <cp:lastModifiedBy>Swartzenberg-Freeth, Pamela</cp:lastModifiedBy>
  <cp:revision>2</cp:revision>
  <dcterms:created xsi:type="dcterms:W3CDTF">2023-02-27T13:01:00Z</dcterms:created>
  <dcterms:modified xsi:type="dcterms:W3CDTF">2023-02-27T13:01:00Z</dcterms:modified>
</cp:coreProperties>
</file>