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18C9" w14:textId="73140516" w:rsidR="009638D7" w:rsidRDefault="009638D7" w:rsidP="00472472">
      <w:pPr>
        <w:pStyle w:val="Title"/>
        <w:ind w:left="0" w:right="10"/>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42B3F165" wp14:editId="2C34F23B">
                <wp:simplePos x="0" y="0"/>
                <wp:positionH relativeFrom="margin">
                  <wp:align>right</wp:align>
                </wp:positionH>
                <wp:positionV relativeFrom="paragraph">
                  <wp:posOffset>10160</wp:posOffset>
                </wp:positionV>
                <wp:extent cx="1747520" cy="457200"/>
                <wp:effectExtent l="0" t="0" r="241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457200"/>
                        </a:xfrm>
                        <a:prstGeom prst="rect">
                          <a:avLst/>
                        </a:prstGeom>
                        <a:solidFill>
                          <a:srgbClr val="FFFFFF"/>
                        </a:solidFill>
                        <a:ln w="6350">
                          <a:solidFill>
                            <a:srgbClr val="000000"/>
                          </a:solidFill>
                          <a:miter lim="800000"/>
                          <a:headEnd/>
                          <a:tailEnd/>
                        </a:ln>
                      </wps:spPr>
                      <wps:txbx>
                        <w:txbxContent>
                          <w:p w14:paraId="3943843B" w14:textId="0E878A1F" w:rsidR="009638D7" w:rsidRDefault="009638D7" w:rsidP="009638D7">
                            <w:pPr>
                              <w:ind w:hanging="90"/>
                              <w:rPr>
                                <w:rFonts w:ascii="Arial" w:hAnsi="Arial" w:cs="Arial"/>
                                <w:b/>
                                <w:bCs/>
                                <w:sz w:val="14"/>
                                <w:szCs w:val="14"/>
                              </w:rPr>
                            </w:pPr>
                            <w:r>
                              <w:rPr>
                                <w:rFonts w:ascii="Arial" w:hAnsi="Arial" w:cs="Arial"/>
                                <w:b/>
                                <w:bCs/>
                                <w:sz w:val="14"/>
                                <w:szCs w:val="14"/>
                              </w:rPr>
                              <w:t>VA</w:t>
                            </w:r>
                            <w:r w:rsidRPr="0030196D">
                              <w:rPr>
                                <w:rFonts w:ascii="Arial" w:hAnsi="Arial" w:cs="Arial"/>
                                <w:b/>
                                <w:bCs/>
                                <w:sz w:val="14"/>
                                <w:szCs w:val="14"/>
                              </w:rPr>
                              <w:t xml:space="preserve"> Case No.</w:t>
                            </w:r>
                          </w:p>
                          <w:p w14:paraId="6E348F77" w14:textId="77777777" w:rsidR="009638D7" w:rsidRDefault="009638D7" w:rsidP="009638D7">
                            <w:pPr>
                              <w:ind w:hanging="90"/>
                              <w:rPr>
                                <w:rFonts w:ascii="Arial" w:hAnsi="Arial" w:cs="Arial"/>
                                <w:b/>
                                <w:bCs/>
                                <w:sz w:val="14"/>
                                <w:szCs w:val="14"/>
                              </w:rPr>
                            </w:pPr>
                          </w:p>
                          <w:p w14:paraId="7170C5BC" w14:textId="77777777" w:rsidR="009638D7" w:rsidRPr="0030196D" w:rsidRDefault="009638D7" w:rsidP="009638D7">
                            <w:pPr>
                              <w:ind w:hanging="90"/>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3F165" id="_x0000_t202" coordsize="21600,21600" o:spt="202" path="m,l,21600r21600,l21600,xe">
                <v:stroke joinstyle="miter"/>
                <v:path gradientshapeok="t" o:connecttype="rect"/>
              </v:shapetype>
              <v:shape id="Text Box 1" o:spid="_x0000_s1026" type="#_x0000_t202" style="position:absolute;left:0;text-align:left;margin-left:86.4pt;margin-top:.8pt;width:137.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" strokeweight=".5pt">
                <v:textbox>
                  <w:txbxContent>
                    <w:p w14:paraId="3943843B" w14:textId="0E878A1F" w:rsidR="009638D7" w:rsidRDefault="009638D7" w:rsidP="009638D7">
                      <w:pPr>
                        <w:ind w:hanging="90"/>
                        <w:rPr>
                          <w:rFonts w:ascii="Arial" w:hAnsi="Arial" w:cs="Arial"/>
                          <w:b/>
                          <w:bCs/>
                          <w:sz w:val="14"/>
                          <w:szCs w:val="14"/>
                        </w:rPr>
                      </w:pPr>
                      <w:r>
                        <w:rPr>
                          <w:rFonts w:ascii="Arial" w:hAnsi="Arial" w:cs="Arial"/>
                          <w:b/>
                          <w:bCs/>
                          <w:sz w:val="14"/>
                          <w:szCs w:val="14"/>
                        </w:rPr>
                        <w:t>VA</w:t>
                      </w:r>
                      <w:r w:rsidRPr="0030196D">
                        <w:rPr>
                          <w:rFonts w:ascii="Arial" w:hAnsi="Arial" w:cs="Arial"/>
                          <w:b/>
                          <w:bCs/>
                          <w:sz w:val="14"/>
                          <w:szCs w:val="14"/>
                        </w:rPr>
                        <w:t xml:space="preserve"> Case No.</w:t>
                      </w:r>
                    </w:p>
                    <w:p w14:paraId="6E348F77" w14:textId="77777777" w:rsidR="009638D7" w:rsidRDefault="009638D7" w:rsidP="009638D7">
                      <w:pPr>
                        <w:ind w:hanging="90"/>
                        <w:rPr>
                          <w:rFonts w:ascii="Arial" w:hAnsi="Arial" w:cs="Arial"/>
                          <w:b/>
                          <w:bCs/>
                          <w:sz w:val="14"/>
                          <w:szCs w:val="14"/>
                        </w:rPr>
                      </w:pPr>
                    </w:p>
                    <w:p w14:paraId="7170C5BC" w14:textId="77777777" w:rsidR="009638D7" w:rsidRPr="0030196D" w:rsidRDefault="009638D7" w:rsidP="009638D7">
                      <w:pPr>
                        <w:ind w:hanging="90"/>
                        <w:rPr>
                          <w:rFonts w:ascii="Arial" w:hAnsi="Arial" w:cs="Arial"/>
                          <w:b/>
                          <w:bCs/>
                          <w:sz w:val="20"/>
                          <w:szCs w:val="20"/>
                        </w:rPr>
                      </w:pPr>
                    </w:p>
                  </w:txbxContent>
                </v:textbox>
                <w10:wrap anchorx="margin"/>
              </v:shape>
            </w:pict>
          </mc:Fallback>
        </mc:AlternateContent>
      </w:r>
    </w:p>
    <w:p w14:paraId="1B97FAB4" w14:textId="77777777" w:rsidR="009638D7" w:rsidRDefault="009638D7" w:rsidP="00472472">
      <w:pPr>
        <w:pStyle w:val="Title"/>
        <w:ind w:left="0" w:right="10"/>
        <w:rPr>
          <w:rFonts w:ascii="Arial" w:hAnsi="Arial" w:cs="Arial"/>
          <w:b/>
          <w:bCs/>
        </w:rPr>
      </w:pPr>
    </w:p>
    <w:p w14:paraId="50C73A11" w14:textId="5F5D5BCF" w:rsidR="00472472" w:rsidRDefault="00472472" w:rsidP="00472472">
      <w:pPr>
        <w:pStyle w:val="Title"/>
        <w:ind w:left="0" w:right="10"/>
        <w:rPr>
          <w:rFonts w:ascii="Arial" w:hAnsi="Arial" w:cs="Arial"/>
          <w:b/>
          <w:bCs/>
        </w:rPr>
      </w:pPr>
      <w:r>
        <w:rPr>
          <w:rFonts w:ascii="Arial" w:hAnsi="Arial" w:cs="Arial"/>
          <w:b/>
          <w:bCs/>
        </w:rPr>
        <w:t>V</w:t>
      </w:r>
      <w:r w:rsidRPr="004F1336">
        <w:rPr>
          <w:rFonts w:ascii="Arial" w:hAnsi="Arial" w:cs="Arial"/>
          <w:b/>
          <w:bCs/>
        </w:rPr>
        <w:t>A</w:t>
      </w:r>
    </w:p>
    <w:p w14:paraId="060B82E2" w14:textId="094E28AC" w:rsidR="00472472" w:rsidRDefault="00472472" w:rsidP="00472472">
      <w:pPr>
        <w:pStyle w:val="Title"/>
        <w:ind w:left="0" w:right="10"/>
        <w:rPr>
          <w:rFonts w:ascii="Arial" w:hAnsi="Arial" w:cs="Arial"/>
          <w:b/>
          <w:bCs/>
        </w:rPr>
      </w:pPr>
      <w:r>
        <w:rPr>
          <w:rFonts w:ascii="Arial" w:hAnsi="Arial" w:cs="Arial"/>
          <w:b/>
          <w:bCs/>
        </w:rPr>
        <w:t>TAX-EXEMPT FINANCING RIDER</w:t>
      </w:r>
    </w:p>
    <w:p w14:paraId="167AF30D" w14:textId="577519B5" w:rsidR="00472472" w:rsidRDefault="00472472" w:rsidP="00066E2C">
      <w:pPr>
        <w:pStyle w:val="Title"/>
        <w:ind w:left="0" w:right="10"/>
        <w:rPr>
          <w:rFonts w:ascii="Arial" w:hAnsi="Arial" w:cs="Arial"/>
          <w:b/>
          <w:bCs/>
        </w:rPr>
      </w:pPr>
    </w:p>
    <w:p w14:paraId="1B43781B" w14:textId="38021EAE" w:rsidR="00472472" w:rsidRDefault="00472472" w:rsidP="00472472">
      <w:pPr>
        <w:pStyle w:val="Title"/>
        <w:spacing w:before="0"/>
        <w:ind w:left="0" w:right="0"/>
        <w:jc w:val="left"/>
        <w:rPr>
          <w:rFonts w:ascii="Arial" w:hAnsi="Arial" w:cs="Arial"/>
        </w:rPr>
      </w:pPr>
      <w:r w:rsidRPr="006368F3">
        <w:rPr>
          <w:rFonts w:ascii="Arial" w:hAnsi="Arial" w:cs="Arial"/>
        </w:rPr>
        <w:t>NOTICE: THIS LOAN IS NOT ASSUMABLE WITHOUT THE APPROVAL OF THE DEPARTMENT OF VETERANS AFFAIRS OR ITS AUTHORIZED AGENT.</w:t>
      </w:r>
    </w:p>
    <w:p w14:paraId="445FC8DC" w14:textId="29A97CFC" w:rsidR="00472472" w:rsidRDefault="00472472" w:rsidP="00472472">
      <w:pPr>
        <w:pStyle w:val="Title"/>
        <w:spacing w:before="0"/>
        <w:ind w:left="0" w:right="0"/>
        <w:jc w:val="left"/>
        <w:rPr>
          <w:rFonts w:ascii="Arial" w:hAnsi="Arial" w:cs="Arial"/>
        </w:rPr>
      </w:pPr>
    </w:p>
    <w:p w14:paraId="662C99F3" w14:textId="106354B9" w:rsidR="00472472" w:rsidRPr="001C4F0F" w:rsidRDefault="00472472" w:rsidP="00472472">
      <w:pPr>
        <w:pStyle w:val="Title"/>
        <w:spacing w:before="120" w:after="120" w:line="360" w:lineRule="exact"/>
        <w:ind w:left="0" w:right="0"/>
        <w:jc w:val="left"/>
        <w:rPr>
          <w:rFonts w:ascii="Arial" w:hAnsi="Arial" w:cs="Arial"/>
          <w:color w:val="000000" w:themeColor="text1"/>
          <w:sz w:val="20"/>
          <w:szCs w:val="20"/>
        </w:rPr>
      </w:pPr>
      <w:r w:rsidRPr="001C4F0F">
        <w:rPr>
          <w:rFonts w:ascii="Arial" w:hAnsi="Arial" w:cs="Arial"/>
          <w:color w:val="000000" w:themeColor="text1"/>
          <w:sz w:val="20"/>
          <w:szCs w:val="20"/>
        </w:rPr>
        <w:t>This Addendum, dated the ___________ day of ______________________, _________ amends the Deed of Trust (“Security Instrument”) of even date by and between ______________________________________________________, the party of the first part (and also referred to herein as the “Borrower”) and ____________________________________, the Trustees, party of the second part, which secures the repayment to _____________________________ (“Lender”) of a certain note (“Note”) of even date herewith, as follows:</w:t>
      </w:r>
    </w:p>
    <w:p w14:paraId="6A953ABE" w14:textId="73E88B6D" w:rsidR="00472472" w:rsidRDefault="00472472" w:rsidP="00E92EA9">
      <w:pPr>
        <w:pStyle w:val="Title"/>
        <w:numPr>
          <w:ilvl w:val="0"/>
          <w:numId w:val="1"/>
        </w:numPr>
        <w:spacing w:before="0" w:after="120"/>
        <w:ind w:left="360" w:right="0"/>
        <w:jc w:val="left"/>
        <w:rPr>
          <w:rFonts w:ascii="Arial" w:hAnsi="Arial" w:cs="Arial"/>
          <w:sz w:val="20"/>
          <w:szCs w:val="20"/>
        </w:rPr>
      </w:pPr>
      <w:r>
        <w:rPr>
          <w:rFonts w:ascii="Arial" w:hAnsi="Arial" w:cs="Arial"/>
          <w:sz w:val="20"/>
          <w:szCs w:val="20"/>
        </w:rPr>
        <w:t>As long as the Note is held by Lender, Lender may declare all sums secured by this mortgage to be immediately due and payable if:</w:t>
      </w:r>
    </w:p>
    <w:p w14:paraId="318F2ACD" w14:textId="4884697E" w:rsidR="00472472" w:rsidRDefault="00E92EA9" w:rsidP="00E92EA9">
      <w:pPr>
        <w:pStyle w:val="Title"/>
        <w:numPr>
          <w:ilvl w:val="1"/>
          <w:numId w:val="1"/>
        </w:numPr>
        <w:spacing w:before="0" w:after="120"/>
        <w:ind w:left="720" w:right="0"/>
        <w:jc w:val="left"/>
        <w:rPr>
          <w:rFonts w:ascii="Arial" w:hAnsi="Arial" w:cs="Arial"/>
          <w:sz w:val="20"/>
          <w:szCs w:val="20"/>
        </w:rPr>
      </w:pPr>
      <w:r>
        <w:rPr>
          <w:rFonts w:ascii="Arial" w:hAnsi="Arial" w:cs="Arial"/>
          <w:sz w:val="20"/>
          <w:szCs w:val="20"/>
        </w:rPr>
        <w:t>All or part of the property is sold or otherwise transferred (other than by devise, descent or operation of law) by Borrower to a purchaser or other transferee:</w:t>
      </w:r>
    </w:p>
    <w:p w14:paraId="1ACFEFE7" w14:textId="3531B274" w:rsidR="00E92EA9" w:rsidRDefault="00E92EA9" w:rsidP="00E92EA9">
      <w:pPr>
        <w:pStyle w:val="Title"/>
        <w:numPr>
          <w:ilvl w:val="2"/>
          <w:numId w:val="1"/>
        </w:numPr>
        <w:spacing w:before="0"/>
        <w:ind w:left="1080" w:right="0"/>
        <w:jc w:val="left"/>
        <w:rPr>
          <w:rFonts w:ascii="Arial" w:hAnsi="Arial" w:cs="Arial"/>
          <w:sz w:val="20"/>
          <w:szCs w:val="20"/>
        </w:rPr>
      </w:pPr>
      <w:r>
        <w:rPr>
          <w:rFonts w:ascii="Arial" w:hAnsi="Arial" w:cs="Arial"/>
          <w:sz w:val="20"/>
          <w:szCs w:val="20"/>
        </w:rPr>
        <w:t>who cannot reasonably be expected to occupy the property as a principal residence within a reasonable time after the sale or transfer, all as provided in Section 143(c) and (i)(2) of the Internal Revenue Code; or</w:t>
      </w:r>
    </w:p>
    <w:p w14:paraId="674C79B7" w14:textId="51071DBB" w:rsidR="00E92EA9" w:rsidRDefault="00E92EA9" w:rsidP="00E92EA9">
      <w:pPr>
        <w:pStyle w:val="Title"/>
        <w:numPr>
          <w:ilvl w:val="2"/>
          <w:numId w:val="1"/>
        </w:numPr>
        <w:spacing w:before="0"/>
        <w:ind w:left="1080" w:right="0"/>
        <w:jc w:val="left"/>
        <w:rPr>
          <w:rFonts w:ascii="Arial" w:hAnsi="Arial" w:cs="Arial"/>
          <w:sz w:val="20"/>
          <w:szCs w:val="20"/>
        </w:rPr>
      </w:pPr>
      <w:r>
        <w:rPr>
          <w:rFonts w:ascii="Arial" w:hAnsi="Arial" w:cs="Arial"/>
          <w:sz w:val="20"/>
          <w:szCs w:val="20"/>
        </w:rPr>
        <w:t>who has had a present ownership interest in a principal residence during a part of the three-year period ending on the date of the sale or transfer, all as provided in Section 143(d) and (i)(2) of the Internal Revenue Code (except that the language “100 percent” shall be substituted for “95 percent or more” where the latter appears in Section 143(d)(1)</w:t>
      </w:r>
      <w:r w:rsidR="00CD4DC6">
        <w:rPr>
          <w:rFonts w:ascii="Arial" w:hAnsi="Arial" w:cs="Arial"/>
          <w:sz w:val="20"/>
          <w:szCs w:val="20"/>
        </w:rPr>
        <w:t>)</w:t>
      </w:r>
      <w:r>
        <w:rPr>
          <w:rFonts w:ascii="Arial" w:hAnsi="Arial" w:cs="Arial"/>
          <w:sz w:val="20"/>
          <w:szCs w:val="20"/>
        </w:rPr>
        <w:t>; or</w:t>
      </w:r>
    </w:p>
    <w:p w14:paraId="4613CF8F" w14:textId="5F4C7093" w:rsidR="00E92EA9" w:rsidRDefault="00E92EA9" w:rsidP="00E92EA9">
      <w:pPr>
        <w:pStyle w:val="Title"/>
        <w:numPr>
          <w:ilvl w:val="2"/>
          <w:numId w:val="1"/>
        </w:numPr>
        <w:spacing w:before="0"/>
        <w:ind w:left="1080" w:right="0"/>
        <w:jc w:val="left"/>
        <w:rPr>
          <w:rFonts w:ascii="Arial" w:hAnsi="Arial" w:cs="Arial"/>
          <w:sz w:val="20"/>
          <w:szCs w:val="20"/>
        </w:rPr>
      </w:pPr>
      <w:r>
        <w:rPr>
          <w:rFonts w:ascii="Arial" w:hAnsi="Arial" w:cs="Arial"/>
          <w:sz w:val="20"/>
          <w:szCs w:val="20"/>
        </w:rPr>
        <w:t>at an acquisition cost which is greater than 90 percent of the average area purchase price (greater than 110 percent for targeted area residences), all as provided in Section 143</w:t>
      </w:r>
      <w:r w:rsidR="00CD4DC6">
        <w:rPr>
          <w:rFonts w:ascii="Arial" w:hAnsi="Arial" w:cs="Arial"/>
          <w:sz w:val="20"/>
          <w:szCs w:val="20"/>
        </w:rPr>
        <w:t>(e)</w:t>
      </w:r>
      <w:r>
        <w:rPr>
          <w:rFonts w:ascii="Arial" w:hAnsi="Arial" w:cs="Arial"/>
          <w:sz w:val="20"/>
          <w:szCs w:val="20"/>
        </w:rPr>
        <w:t xml:space="preserve"> and (i)(2) of the Internal Revenue Code; or</w:t>
      </w:r>
    </w:p>
    <w:p w14:paraId="0800EF59" w14:textId="5A43B665" w:rsidR="00E92EA9" w:rsidRDefault="00E92EA9" w:rsidP="00E92EA9">
      <w:pPr>
        <w:pStyle w:val="Title"/>
        <w:numPr>
          <w:ilvl w:val="2"/>
          <w:numId w:val="1"/>
        </w:numPr>
        <w:spacing w:before="0"/>
        <w:ind w:left="1080" w:right="0"/>
        <w:jc w:val="left"/>
        <w:rPr>
          <w:rFonts w:ascii="Arial" w:hAnsi="Arial" w:cs="Arial"/>
          <w:sz w:val="20"/>
          <w:szCs w:val="20"/>
        </w:rPr>
      </w:pPr>
      <w:r>
        <w:rPr>
          <w:rFonts w:ascii="Arial" w:hAnsi="Arial" w:cs="Arial"/>
          <w:sz w:val="20"/>
          <w:szCs w:val="20"/>
        </w:rPr>
        <w:t>who has an income in excess of that established by the Lender under its applicable regulations or program guidelines in effect on the date of the sale or transfer; or</w:t>
      </w:r>
    </w:p>
    <w:p w14:paraId="0E36612F" w14:textId="560681A3" w:rsidR="00E92EA9" w:rsidRDefault="00E92EA9" w:rsidP="00E92EA9">
      <w:pPr>
        <w:pStyle w:val="Title"/>
        <w:numPr>
          <w:ilvl w:val="2"/>
          <w:numId w:val="1"/>
        </w:numPr>
        <w:spacing w:before="0"/>
        <w:ind w:left="1080" w:right="0"/>
        <w:jc w:val="left"/>
        <w:rPr>
          <w:rFonts w:ascii="Arial" w:hAnsi="Arial" w:cs="Arial"/>
          <w:sz w:val="20"/>
          <w:szCs w:val="20"/>
        </w:rPr>
      </w:pPr>
      <w:r>
        <w:rPr>
          <w:rFonts w:ascii="Arial" w:hAnsi="Arial" w:cs="Arial"/>
          <w:sz w:val="20"/>
          <w:szCs w:val="20"/>
        </w:rPr>
        <w:t xml:space="preserve">who has a gross income in excess of 115% of the applicable median family income (140% of the applicable median family income for purchaser or transferee of </w:t>
      </w:r>
      <w:r w:rsidRPr="00E92EA9">
        <w:rPr>
          <w:rFonts w:ascii="Arial" w:hAnsi="Arial" w:cs="Arial"/>
          <w:sz w:val="20"/>
          <w:szCs w:val="20"/>
        </w:rPr>
        <w:t xml:space="preserve">a residence in a targeted </w:t>
      </w:r>
      <w:r>
        <w:rPr>
          <w:rFonts w:ascii="Arial" w:hAnsi="Arial" w:cs="Arial"/>
          <w:sz w:val="20"/>
          <w:szCs w:val="20"/>
        </w:rPr>
        <w:t>area), all as provided in Section 143(f) and (i)(2) of the Internal Revenue Code; or</w:t>
      </w:r>
    </w:p>
    <w:p w14:paraId="52A81BA9" w14:textId="163A0D3F" w:rsidR="00E92EA9" w:rsidRDefault="00E92EA9" w:rsidP="00E92EA9">
      <w:pPr>
        <w:pStyle w:val="Title"/>
        <w:spacing w:before="0"/>
        <w:ind w:left="0" w:right="0"/>
        <w:jc w:val="left"/>
        <w:rPr>
          <w:rFonts w:ascii="Arial" w:hAnsi="Arial" w:cs="Arial"/>
          <w:sz w:val="20"/>
          <w:szCs w:val="20"/>
        </w:rPr>
      </w:pPr>
    </w:p>
    <w:p w14:paraId="50E98DFF" w14:textId="77777777" w:rsidR="001C4F0F" w:rsidRDefault="001C4F0F">
      <w:pPr>
        <w:rPr>
          <w:rFonts w:ascii="Arial" w:eastAsia="Times New Roman" w:hAnsi="Arial" w:cs="Arial"/>
          <w:sz w:val="20"/>
          <w:szCs w:val="20"/>
        </w:rPr>
      </w:pPr>
      <w:r>
        <w:rPr>
          <w:rFonts w:ascii="Arial" w:hAnsi="Arial" w:cs="Arial"/>
          <w:sz w:val="20"/>
          <w:szCs w:val="20"/>
        </w:rPr>
        <w:br w:type="page"/>
      </w:r>
    </w:p>
    <w:p w14:paraId="4C1ADE1D" w14:textId="5371D447" w:rsidR="00E92EA9" w:rsidRDefault="00E92EA9" w:rsidP="00E92EA9">
      <w:pPr>
        <w:pStyle w:val="Title"/>
        <w:numPr>
          <w:ilvl w:val="1"/>
          <w:numId w:val="1"/>
        </w:numPr>
        <w:spacing w:before="0" w:after="120"/>
        <w:ind w:left="720" w:right="0"/>
        <w:jc w:val="left"/>
        <w:rPr>
          <w:rFonts w:ascii="Arial" w:hAnsi="Arial" w:cs="Arial"/>
          <w:sz w:val="20"/>
          <w:szCs w:val="20"/>
        </w:rPr>
      </w:pPr>
      <w:r>
        <w:rPr>
          <w:rFonts w:ascii="Arial" w:hAnsi="Arial" w:cs="Arial"/>
          <w:sz w:val="20"/>
          <w:szCs w:val="20"/>
        </w:rPr>
        <w:lastRenderedPageBreak/>
        <w:t>Notwithstanding anything to the contrary contained in the Security Instrument, Borrower fails to occupy the property described in the Mortgage without Lender’s prior written consent; or</w:t>
      </w:r>
    </w:p>
    <w:p w14:paraId="056C5DCD" w14:textId="2AF94030" w:rsidR="0026245D" w:rsidRDefault="00E92EA9" w:rsidP="001C4F0F">
      <w:pPr>
        <w:pStyle w:val="Title"/>
        <w:numPr>
          <w:ilvl w:val="1"/>
          <w:numId w:val="1"/>
        </w:numPr>
        <w:spacing w:before="0" w:after="120"/>
        <w:ind w:left="720" w:right="0"/>
        <w:jc w:val="left"/>
        <w:rPr>
          <w:rFonts w:ascii="Arial" w:hAnsi="Arial" w:cs="Arial"/>
          <w:sz w:val="20"/>
          <w:szCs w:val="20"/>
        </w:rPr>
      </w:pPr>
      <w:r>
        <w:rPr>
          <w:rFonts w:ascii="Arial" w:hAnsi="Arial" w:cs="Arial"/>
          <w:sz w:val="20"/>
          <w:szCs w:val="20"/>
        </w:rPr>
        <w:t>Borrower omits or misrepresents a material fact in an application for this loan. References to the Internal Revenue Code are to the Internal Revenue Code provisions in effect on the date of the execution of the Security Instrument, and are deemed to include the implementing regulations.</w:t>
      </w:r>
    </w:p>
    <w:p w14:paraId="37202F08" w14:textId="68B90538" w:rsidR="001C4F0F" w:rsidRDefault="001C4F0F" w:rsidP="001C4F0F">
      <w:pPr>
        <w:pStyle w:val="Title"/>
        <w:spacing w:before="0" w:after="120"/>
        <w:ind w:left="360" w:right="0"/>
        <w:jc w:val="left"/>
        <w:rPr>
          <w:rFonts w:ascii="Arial" w:hAnsi="Arial" w:cs="Arial"/>
          <w:sz w:val="20"/>
          <w:szCs w:val="20"/>
        </w:rPr>
      </w:pPr>
    </w:p>
    <w:p w14:paraId="1006B4A5" w14:textId="77777777" w:rsidR="001C4F0F" w:rsidRDefault="001C4F0F" w:rsidP="001C4F0F">
      <w:pPr>
        <w:pStyle w:val="BodyText"/>
        <w:rPr>
          <w:rFonts w:ascii="Arial" w:hAnsi="Arial" w:cs="Arial"/>
          <w:sz w:val="36"/>
          <w:szCs w:val="36"/>
        </w:rPr>
      </w:pPr>
    </w:p>
    <w:p w14:paraId="6C4CEA24" w14:textId="77777777" w:rsidR="001C4F0F" w:rsidRDefault="001C4F0F" w:rsidP="001C4F0F">
      <w:pPr>
        <w:pStyle w:val="BodyText"/>
        <w:rPr>
          <w:rFonts w:cstheme="minorHAnsi"/>
        </w:rPr>
      </w:pPr>
      <w:r>
        <w:rPr>
          <w:rFonts w:cstheme="minorHAnsi"/>
        </w:rPr>
        <w:t xml:space="preserve">                                                                                                                   </w:t>
      </w:r>
      <w:r w:rsidRPr="00FA635C">
        <w:rPr>
          <w:rFonts w:cstheme="minorHAnsi"/>
        </w:rPr>
        <w:t>__________________________________</w:t>
      </w:r>
    </w:p>
    <w:p w14:paraId="5DBF5CDD" w14:textId="77777777" w:rsidR="001C4F0F" w:rsidRDefault="001C4F0F" w:rsidP="001C4F0F">
      <w:pPr>
        <w:pStyle w:val="BodyText"/>
        <w:ind w:left="5940" w:firstLine="720"/>
        <w:rPr>
          <w:rFonts w:ascii="Arial" w:hAnsi="Arial" w:cs="Arial"/>
        </w:rPr>
      </w:pPr>
      <w:r>
        <w:rPr>
          <w:rFonts w:ascii="Arial" w:hAnsi="Arial" w:cs="Arial"/>
        </w:rPr>
        <w:t>Borrower Signature</w:t>
      </w:r>
    </w:p>
    <w:p w14:paraId="115A78CF" w14:textId="77777777" w:rsidR="001C4F0F" w:rsidRDefault="001C4F0F" w:rsidP="001C4F0F">
      <w:pPr>
        <w:pStyle w:val="BodyText"/>
        <w:ind w:left="5940" w:firstLine="720"/>
        <w:rPr>
          <w:rFonts w:ascii="Arial" w:hAnsi="Arial" w:cs="Arial"/>
        </w:rPr>
      </w:pPr>
    </w:p>
    <w:p w14:paraId="56D94D9A" w14:textId="77777777" w:rsidR="001C4F0F" w:rsidRDefault="001C4F0F" w:rsidP="001C4F0F">
      <w:pPr>
        <w:pStyle w:val="BodyText"/>
        <w:rPr>
          <w:rFonts w:ascii="Arial" w:hAnsi="Arial" w:cs="Arial"/>
          <w:sz w:val="36"/>
          <w:szCs w:val="36"/>
        </w:rPr>
      </w:pPr>
    </w:p>
    <w:p w14:paraId="6982F3D2" w14:textId="77777777" w:rsidR="001C4F0F" w:rsidRDefault="001C4F0F" w:rsidP="001C4F0F">
      <w:pPr>
        <w:pStyle w:val="BodyText"/>
        <w:rPr>
          <w:rFonts w:cstheme="minorHAnsi"/>
        </w:rPr>
      </w:pPr>
      <w:r>
        <w:rPr>
          <w:rFonts w:ascii="Arial" w:hAnsi="Arial" w:cs="Arial"/>
          <w:sz w:val="36"/>
          <w:szCs w:val="36"/>
        </w:rPr>
        <w:t xml:space="preserve">                                                         </w:t>
      </w:r>
      <w:r w:rsidRPr="00FA635C">
        <w:rPr>
          <w:rFonts w:cstheme="minorHAnsi"/>
        </w:rPr>
        <w:t>__________________________________</w:t>
      </w:r>
    </w:p>
    <w:p w14:paraId="5FD0A830" w14:textId="77777777" w:rsidR="001C4F0F" w:rsidRDefault="001C4F0F" w:rsidP="001C4F0F">
      <w:pPr>
        <w:pStyle w:val="BodyText"/>
        <w:ind w:left="5940" w:firstLine="720"/>
        <w:rPr>
          <w:rFonts w:ascii="Arial" w:hAnsi="Arial" w:cs="Arial"/>
        </w:rPr>
      </w:pPr>
      <w:r>
        <w:rPr>
          <w:rFonts w:ascii="Arial" w:hAnsi="Arial" w:cs="Arial"/>
        </w:rPr>
        <w:t>Borrower Signature</w:t>
      </w:r>
    </w:p>
    <w:p w14:paraId="117E2A8E" w14:textId="77777777" w:rsidR="001C4F0F" w:rsidRPr="001C4F0F" w:rsidRDefault="001C4F0F" w:rsidP="001C4F0F">
      <w:pPr>
        <w:pStyle w:val="Title"/>
        <w:spacing w:before="0" w:after="120"/>
        <w:ind w:left="360" w:right="0"/>
        <w:jc w:val="left"/>
        <w:rPr>
          <w:rFonts w:ascii="Arial" w:hAnsi="Arial" w:cs="Arial"/>
          <w:sz w:val="20"/>
          <w:szCs w:val="20"/>
        </w:rPr>
      </w:pPr>
    </w:p>
    <w:sectPr w:rsidR="001C4F0F" w:rsidRPr="001C4F0F" w:rsidSect="00066E2C">
      <w:footerReference w:type="default" r:id="rId7"/>
      <w:pgSz w:w="12240" w:h="15840"/>
      <w:pgMar w:top="1620" w:right="1440" w:bottom="1440" w:left="1440" w:header="720" w:footer="19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F7B0" w14:textId="77777777" w:rsidR="007D0B0D" w:rsidRDefault="007D0B0D" w:rsidP="00066E2C">
      <w:pPr>
        <w:spacing w:after="0" w:line="240" w:lineRule="auto"/>
      </w:pPr>
      <w:r>
        <w:separator/>
      </w:r>
    </w:p>
  </w:endnote>
  <w:endnote w:type="continuationSeparator" w:id="0">
    <w:p w14:paraId="5E1CA963" w14:textId="77777777" w:rsidR="007D0B0D" w:rsidRDefault="007D0B0D" w:rsidP="0006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282"/>
      <w:gridCol w:w="3118"/>
    </w:tblGrid>
    <w:tr w:rsidR="00066E2C" w14:paraId="704CDAEE" w14:textId="77777777" w:rsidTr="00100E06">
      <w:tc>
        <w:tcPr>
          <w:tcW w:w="3960" w:type="dxa"/>
        </w:tcPr>
        <w:p w14:paraId="0AD3B7B2" w14:textId="6A693829" w:rsidR="00066E2C" w:rsidRDefault="00066E2C" w:rsidP="00066E2C">
          <w:pPr>
            <w:pStyle w:val="Footer"/>
            <w:rPr>
              <w:rFonts w:ascii="Arial" w:hAnsi="Arial" w:cs="Arial"/>
              <w:sz w:val="16"/>
              <w:szCs w:val="16"/>
            </w:rPr>
          </w:pPr>
          <w:r>
            <w:rPr>
              <w:rFonts w:ascii="Arial" w:hAnsi="Arial" w:cs="Arial"/>
              <w:sz w:val="16"/>
              <w:szCs w:val="16"/>
            </w:rPr>
            <w:t>VA Tax-</w:t>
          </w:r>
          <w:r w:rsidR="006C327F">
            <w:rPr>
              <w:rFonts w:ascii="Arial" w:hAnsi="Arial" w:cs="Arial"/>
              <w:sz w:val="16"/>
              <w:szCs w:val="16"/>
            </w:rPr>
            <w:t>E</w:t>
          </w:r>
          <w:r>
            <w:rPr>
              <w:rFonts w:ascii="Arial" w:hAnsi="Arial" w:cs="Arial"/>
              <w:sz w:val="16"/>
              <w:szCs w:val="16"/>
            </w:rPr>
            <w:t>xempt Financing Rider</w:t>
          </w:r>
        </w:p>
      </w:tc>
      <w:tc>
        <w:tcPr>
          <w:tcW w:w="2282" w:type="dxa"/>
        </w:tcPr>
        <w:p w14:paraId="773AD824" w14:textId="77777777" w:rsidR="00066E2C" w:rsidRDefault="00066E2C" w:rsidP="00066E2C">
          <w:pPr>
            <w:pStyle w:val="Footer"/>
            <w:jc w:val="right"/>
            <w:rPr>
              <w:rFonts w:ascii="Arial" w:hAnsi="Arial" w:cs="Arial"/>
              <w:sz w:val="16"/>
              <w:szCs w:val="16"/>
            </w:rPr>
          </w:pPr>
        </w:p>
      </w:tc>
      <w:tc>
        <w:tcPr>
          <w:tcW w:w="3118" w:type="dxa"/>
        </w:tcPr>
        <w:p w14:paraId="2782CAED" w14:textId="77777777" w:rsidR="00066E2C" w:rsidRDefault="00066E2C" w:rsidP="00066E2C">
          <w:pPr>
            <w:pStyle w:val="Footer"/>
            <w:jc w:val="right"/>
            <w:rPr>
              <w:rFonts w:ascii="Arial" w:hAnsi="Arial" w:cs="Arial"/>
              <w:sz w:val="16"/>
              <w:szCs w:val="16"/>
            </w:rPr>
          </w:pPr>
          <w:r>
            <w:rPr>
              <w:rFonts w:ascii="Arial" w:hAnsi="Arial" w:cs="Arial"/>
              <w:sz w:val="16"/>
              <w:szCs w:val="16"/>
            </w:rPr>
            <w:t>June 2023</w:t>
          </w:r>
        </w:p>
        <w:sdt>
          <w:sdtPr>
            <w:id w:val="-1769616900"/>
            <w:docPartObj>
              <w:docPartGallery w:val="Page Numbers (Top of Page)"/>
              <w:docPartUnique/>
            </w:docPartObj>
          </w:sdtPr>
          <w:sdtContent>
            <w:p w14:paraId="5FAFA4A9" w14:textId="77777777" w:rsidR="00066E2C" w:rsidRPr="0030196D" w:rsidRDefault="00066E2C" w:rsidP="00066E2C">
              <w:pPr>
                <w:pStyle w:val="Footer"/>
                <w:jc w:val="right"/>
                <w:rPr>
                  <w:rFonts w:ascii="Times New Roman" w:hAnsi="Times New Roman" w:cs="Times New Roman"/>
                </w:rPr>
              </w:pPr>
              <w:r w:rsidRPr="0030196D">
                <w:rPr>
                  <w:rFonts w:ascii="Arial" w:hAnsi="Arial" w:cs="Arial"/>
                  <w:sz w:val="16"/>
                  <w:szCs w:val="16"/>
                </w:rPr>
                <w:t xml:space="preserve">Page </w:t>
              </w:r>
              <w:r w:rsidRPr="0030196D">
                <w:rPr>
                  <w:rFonts w:ascii="Arial" w:hAnsi="Arial" w:cs="Arial"/>
                  <w:sz w:val="16"/>
                  <w:szCs w:val="16"/>
                </w:rPr>
                <w:fldChar w:fldCharType="begin"/>
              </w:r>
              <w:r w:rsidRPr="0030196D">
                <w:rPr>
                  <w:rFonts w:ascii="Arial" w:hAnsi="Arial" w:cs="Arial"/>
                  <w:sz w:val="16"/>
                  <w:szCs w:val="16"/>
                </w:rPr>
                <w:instrText xml:space="preserve"> PAGE </w:instrText>
              </w:r>
              <w:r w:rsidRPr="0030196D">
                <w:rPr>
                  <w:rFonts w:ascii="Arial" w:hAnsi="Arial" w:cs="Arial"/>
                  <w:sz w:val="16"/>
                  <w:szCs w:val="16"/>
                </w:rPr>
                <w:fldChar w:fldCharType="separate"/>
              </w:r>
              <w:r w:rsidRPr="0030196D">
                <w:rPr>
                  <w:rFonts w:ascii="Arial" w:hAnsi="Arial" w:cs="Arial"/>
                  <w:sz w:val="16"/>
                  <w:szCs w:val="16"/>
                </w:rPr>
                <w:t>1</w:t>
              </w:r>
              <w:r w:rsidRPr="0030196D">
                <w:rPr>
                  <w:rFonts w:ascii="Arial" w:hAnsi="Arial" w:cs="Arial"/>
                  <w:sz w:val="16"/>
                  <w:szCs w:val="16"/>
                </w:rPr>
                <w:fldChar w:fldCharType="end"/>
              </w:r>
              <w:r w:rsidRPr="0030196D">
                <w:rPr>
                  <w:rFonts w:ascii="Arial" w:hAnsi="Arial" w:cs="Arial"/>
                  <w:sz w:val="16"/>
                  <w:szCs w:val="16"/>
                </w:rPr>
                <w:t xml:space="preserve"> of </w:t>
              </w:r>
              <w:r w:rsidRPr="0030196D">
                <w:rPr>
                  <w:rFonts w:ascii="Arial" w:hAnsi="Arial" w:cs="Arial"/>
                  <w:sz w:val="16"/>
                  <w:szCs w:val="16"/>
                </w:rPr>
                <w:fldChar w:fldCharType="begin"/>
              </w:r>
              <w:r w:rsidRPr="0030196D">
                <w:rPr>
                  <w:rFonts w:ascii="Arial" w:hAnsi="Arial" w:cs="Arial"/>
                  <w:sz w:val="16"/>
                  <w:szCs w:val="16"/>
                </w:rPr>
                <w:instrText xml:space="preserve"> NUMPAGES  </w:instrText>
              </w:r>
              <w:r w:rsidRPr="0030196D">
                <w:rPr>
                  <w:rFonts w:ascii="Arial" w:hAnsi="Arial" w:cs="Arial"/>
                  <w:sz w:val="16"/>
                  <w:szCs w:val="16"/>
                </w:rPr>
                <w:fldChar w:fldCharType="separate"/>
              </w:r>
              <w:r w:rsidRPr="0030196D">
                <w:rPr>
                  <w:rFonts w:ascii="Arial" w:hAnsi="Arial" w:cs="Arial"/>
                  <w:sz w:val="16"/>
                  <w:szCs w:val="16"/>
                </w:rPr>
                <w:t>2</w:t>
              </w:r>
              <w:r w:rsidRPr="0030196D">
                <w:rPr>
                  <w:rFonts w:ascii="Arial" w:hAnsi="Arial" w:cs="Arial"/>
                  <w:sz w:val="16"/>
                  <w:szCs w:val="16"/>
                </w:rPr>
                <w:fldChar w:fldCharType="end"/>
              </w:r>
            </w:p>
          </w:sdtContent>
        </w:sdt>
      </w:tc>
    </w:tr>
  </w:tbl>
  <w:p w14:paraId="383EE834" w14:textId="77777777" w:rsidR="00066E2C" w:rsidRDefault="00066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8605" w14:textId="77777777" w:rsidR="007D0B0D" w:rsidRDefault="007D0B0D" w:rsidP="00066E2C">
      <w:pPr>
        <w:spacing w:after="0" w:line="240" w:lineRule="auto"/>
      </w:pPr>
      <w:r>
        <w:separator/>
      </w:r>
    </w:p>
  </w:footnote>
  <w:footnote w:type="continuationSeparator" w:id="0">
    <w:p w14:paraId="40A4CED2" w14:textId="77777777" w:rsidR="007D0B0D" w:rsidRDefault="007D0B0D" w:rsidP="00066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D9C"/>
    <w:multiLevelType w:val="hybridMultilevel"/>
    <w:tmpl w:val="3C1C4692"/>
    <w:lvl w:ilvl="0" w:tplc="30463C18">
      <w:start w:val="1"/>
      <w:numFmt w:val="decimal"/>
      <w:lvlText w:val="%1."/>
      <w:lvlJc w:val="left"/>
      <w:pPr>
        <w:ind w:left="720" w:hanging="360"/>
      </w:pPr>
      <w:rPr>
        <w:rFonts w:hint="default"/>
      </w:rPr>
    </w:lvl>
    <w:lvl w:ilvl="1" w:tplc="9702BE12">
      <w:start w:val="1"/>
      <w:numFmt w:val="upperLetter"/>
      <w:lvlText w:val="(%2)"/>
      <w:lvlJc w:val="left"/>
      <w:pPr>
        <w:ind w:left="1440" w:hanging="360"/>
      </w:pPr>
      <w:rPr>
        <w:rFonts w:ascii="Arial" w:eastAsia="Arial" w:hAnsi="Arial" w:cs="Arial" w:hint="default"/>
        <w:b w:val="0"/>
        <w:bCs w:val="0"/>
        <w:i w:val="0"/>
        <w:iCs w:val="0"/>
        <w:spacing w:val="0"/>
        <w:w w:val="94"/>
        <w:sz w:val="20"/>
        <w:szCs w:val="20"/>
        <w:lang w:val="en-US" w:eastAsia="en-US" w:bidi="ar-SA"/>
      </w:rPr>
    </w:lvl>
    <w:lvl w:ilvl="2" w:tplc="710C72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0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DE"/>
    <w:rsid w:val="00066E2C"/>
    <w:rsid w:val="001C4F0F"/>
    <w:rsid w:val="001E09DA"/>
    <w:rsid w:val="0026245D"/>
    <w:rsid w:val="003307DE"/>
    <w:rsid w:val="00472472"/>
    <w:rsid w:val="00662FEC"/>
    <w:rsid w:val="006C327F"/>
    <w:rsid w:val="00786843"/>
    <w:rsid w:val="007D0B0D"/>
    <w:rsid w:val="0080095F"/>
    <w:rsid w:val="0090454F"/>
    <w:rsid w:val="009638D7"/>
    <w:rsid w:val="00CC4328"/>
    <w:rsid w:val="00CD4DC6"/>
    <w:rsid w:val="00D739AB"/>
    <w:rsid w:val="00E92EA9"/>
    <w:rsid w:val="00F2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10931"/>
  <w15:chartTrackingRefBased/>
  <w15:docId w15:val="{2EF90782-11EE-4CE0-A396-DFAC643E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72472"/>
    <w:pPr>
      <w:widowControl w:val="0"/>
      <w:autoSpaceDE w:val="0"/>
      <w:autoSpaceDN w:val="0"/>
      <w:spacing w:before="50" w:after="0" w:line="240" w:lineRule="auto"/>
      <w:ind w:left="2500" w:right="2513"/>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uiPriority w:val="10"/>
    <w:rsid w:val="00472472"/>
    <w:rPr>
      <w:rFonts w:ascii="Times New Roman" w:eastAsia="Times New Roman" w:hAnsi="Times New Roman" w:cs="Times New Roman"/>
      <w:sz w:val="36"/>
      <w:szCs w:val="36"/>
    </w:rPr>
  </w:style>
  <w:style w:type="paragraph" w:styleId="Header">
    <w:name w:val="header"/>
    <w:basedOn w:val="Normal"/>
    <w:link w:val="HeaderChar"/>
    <w:uiPriority w:val="99"/>
    <w:unhideWhenUsed/>
    <w:rsid w:val="00066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E2C"/>
  </w:style>
  <w:style w:type="paragraph" w:styleId="Footer">
    <w:name w:val="footer"/>
    <w:basedOn w:val="Normal"/>
    <w:link w:val="FooterChar"/>
    <w:uiPriority w:val="99"/>
    <w:unhideWhenUsed/>
    <w:rsid w:val="00066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E2C"/>
  </w:style>
  <w:style w:type="table" w:styleId="TableGrid">
    <w:name w:val="Table Grid"/>
    <w:basedOn w:val="TableNormal"/>
    <w:uiPriority w:val="39"/>
    <w:rsid w:val="0006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C4F0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C4F0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Virginia Housing</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Whitlow, Melissa</dc:creator>
  <cp:keywords/>
  <dc:description/>
  <cp:lastModifiedBy>Whitlow, Melissa</cp:lastModifiedBy>
  <cp:revision>2</cp:revision>
  <dcterms:created xsi:type="dcterms:W3CDTF">2023-04-10T19:24:00Z</dcterms:created>
  <dcterms:modified xsi:type="dcterms:W3CDTF">2023-04-10T19:24:00Z</dcterms:modified>
</cp:coreProperties>
</file>